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F4" w:rsidRDefault="00033DF4" w:rsidP="00033DF4">
      <w:pPr>
        <w:jc w:val="center"/>
        <w:rPr>
          <w:b/>
          <w:bCs/>
        </w:rPr>
      </w:pPr>
    </w:p>
    <w:p w:rsidR="00033DF4" w:rsidRDefault="00033DF4" w:rsidP="003A582A">
      <w:pPr>
        <w:jc w:val="both"/>
        <w:rPr>
          <w:b/>
          <w:bCs/>
        </w:rPr>
      </w:pPr>
    </w:p>
    <w:p w:rsidR="00484BD8" w:rsidRPr="00033DF4" w:rsidRDefault="00484BD8" w:rsidP="00033DF4">
      <w:pPr>
        <w:jc w:val="center"/>
        <w:rPr>
          <w:b/>
          <w:bCs/>
          <w:sz w:val="28"/>
          <w:szCs w:val="28"/>
          <w:rtl/>
        </w:rPr>
      </w:pPr>
      <w:r w:rsidRPr="00033DF4">
        <w:rPr>
          <w:b/>
          <w:bCs/>
          <w:sz w:val="28"/>
          <w:szCs w:val="28"/>
        </w:rPr>
        <w:t>Règlement intérieur de la Commission spéciale d’accréditation des observateurs des élections</w:t>
      </w:r>
    </w:p>
    <w:p w:rsidR="00484BD8" w:rsidRPr="00484BD8" w:rsidRDefault="00484BD8" w:rsidP="003A582A">
      <w:pPr>
        <w:jc w:val="both"/>
        <w:rPr>
          <w:b/>
          <w:bCs/>
          <w:rtl/>
        </w:rPr>
      </w:pPr>
    </w:p>
    <w:p w:rsidR="00484BD8" w:rsidRPr="00484BD8" w:rsidRDefault="00484BD8" w:rsidP="003A582A">
      <w:pPr>
        <w:jc w:val="both"/>
        <w:rPr>
          <w:b/>
          <w:bCs/>
        </w:rPr>
      </w:pPr>
      <w:r w:rsidRPr="00484BD8">
        <w:rPr>
          <w:b/>
          <w:bCs/>
        </w:rPr>
        <w:t xml:space="preserve">Article I : Durée du mandat </w:t>
      </w:r>
    </w:p>
    <w:p w:rsidR="00484BD8" w:rsidRDefault="00484BD8" w:rsidP="003A582A">
      <w:pPr>
        <w:jc w:val="both"/>
      </w:pPr>
      <w:r>
        <w:t xml:space="preserve">Le présent règlement intérieur demeure en vigueur pendant toute la durée du mandat de la Commission spéciale d’accréditation des observateurs des élections. </w:t>
      </w:r>
    </w:p>
    <w:p w:rsidR="00484BD8" w:rsidRPr="00484BD8" w:rsidRDefault="00484BD8" w:rsidP="003A582A">
      <w:pPr>
        <w:jc w:val="both"/>
        <w:rPr>
          <w:b/>
          <w:bCs/>
        </w:rPr>
      </w:pPr>
      <w:r w:rsidRPr="00484BD8">
        <w:rPr>
          <w:b/>
          <w:bCs/>
        </w:rPr>
        <w:t xml:space="preserve">Article 2 : Composition de la </w:t>
      </w:r>
      <w:r w:rsidR="003A582A">
        <w:rPr>
          <w:b/>
          <w:bCs/>
        </w:rPr>
        <w:t>C</w:t>
      </w:r>
      <w:r w:rsidRPr="00484BD8">
        <w:rPr>
          <w:b/>
          <w:bCs/>
        </w:rPr>
        <w:t xml:space="preserve">ommission </w:t>
      </w:r>
    </w:p>
    <w:p w:rsidR="005F6B79" w:rsidRDefault="00484BD8" w:rsidP="003A582A">
      <w:pPr>
        <w:jc w:val="both"/>
      </w:pPr>
      <w:r>
        <w:t>Présidée par l</w:t>
      </w:r>
      <w:r w:rsidR="009E0ACD">
        <w:t>a</w:t>
      </w:r>
      <w:r>
        <w:t xml:space="preserve"> président</w:t>
      </w:r>
      <w:r w:rsidR="009E0ACD">
        <w:t>e</w:t>
      </w:r>
      <w:r>
        <w:t xml:space="preserve"> du Conseil national des droits de l’Homme ou son délégué, la </w:t>
      </w:r>
      <w:r w:rsidR="003A582A">
        <w:t>C</w:t>
      </w:r>
      <w:r>
        <w:t xml:space="preserve">ommission spéciale d’accréditation des observateurs des élections est composée </w:t>
      </w:r>
      <w:r w:rsidR="005F6B79">
        <w:t>de :</w:t>
      </w:r>
    </w:p>
    <w:p w:rsidR="005F6B79" w:rsidRDefault="00484BD8" w:rsidP="003A582A">
      <w:pPr>
        <w:pStyle w:val="Paragraphedeliste"/>
        <w:numPr>
          <w:ilvl w:val="0"/>
          <w:numId w:val="1"/>
        </w:numPr>
        <w:jc w:val="both"/>
      </w:pPr>
      <w:r>
        <w:t xml:space="preserve">Quatre membres représentant les autorités gouvernementales chargées de la Justice, de l’Intérieur, des Affaires étrangères et de la </w:t>
      </w:r>
      <w:r w:rsidR="00BC3E8F">
        <w:t>c</w:t>
      </w:r>
      <w:r>
        <w:t>oopération</w:t>
      </w:r>
      <w:r w:rsidR="005F6B79">
        <w:t xml:space="preserve"> Africaine</w:t>
      </w:r>
      <w:r w:rsidR="005F6B79" w:rsidRPr="005F6B79">
        <w:t xml:space="preserve"> et des Marocains </w:t>
      </w:r>
      <w:r w:rsidR="005F6B79">
        <w:t>r</w:t>
      </w:r>
      <w:r w:rsidR="005F6B79" w:rsidRPr="005F6B79">
        <w:t>ésidant à l'</w:t>
      </w:r>
      <w:r w:rsidR="005F6B79">
        <w:t>é</w:t>
      </w:r>
      <w:r w:rsidR="005F6B79" w:rsidRPr="005F6B79">
        <w:t>tranger</w:t>
      </w:r>
      <w:r>
        <w:t xml:space="preserve">, et de la </w:t>
      </w:r>
      <w:r w:rsidR="005F6B79">
        <w:t xml:space="preserve">culture, la jeunesse et le sport (Département de la </w:t>
      </w:r>
      <w:r>
        <w:t>Communication</w:t>
      </w:r>
      <w:r w:rsidR="00B81D6F">
        <w:t>) ;</w:t>
      </w:r>
    </w:p>
    <w:p w:rsidR="0042609C" w:rsidRDefault="00484BD8" w:rsidP="003A582A">
      <w:pPr>
        <w:pStyle w:val="Paragraphedeliste"/>
        <w:numPr>
          <w:ilvl w:val="0"/>
          <w:numId w:val="1"/>
        </w:numPr>
        <w:jc w:val="both"/>
      </w:pPr>
      <w:r>
        <w:t xml:space="preserve">Un représentant de la Délégation interministérielle aux droits de l’Homme ; </w:t>
      </w:r>
    </w:p>
    <w:p w:rsidR="00BC3E8F" w:rsidRDefault="00484BD8" w:rsidP="003A582A">
      <w:pPr>
        <w:pStyle w:val="Paragraphedeliste"/>
        <w:numPr>
          <w:ilvl w:val="0"/>
          <w:numId w:val="1"/>
        </w:numPr>
        <w:jc w:val="both"/>
      </w:pPr>
      <w:r>
        <w:t xml:space="preserve"> Un représentant de l’</w:t>
      </w:r>
      <w:r w:rsidR="003A582A">
        <w:t>I</w:t>
      </w:r>
      <w:r>
        <w:t xml:space="preserve">nstance nationale de la probité, de la prévention et de la lutte contre la corruption ; </w:t>
      </w:r>
    </w:p>
    <w:p w:rsidR="00BC3E8F" w:rsidRDefault="00484BD8" w:rsidP="003A582A">
      <w:pPr>
        <w:pStyle w:val="Paragraphedeliste"/>
        <w:numPr>
          <w:ilvl w:val="0"/>
          <w:numId w:val="1"/>
        </w:numPr>
        <w:jc w:val="both"/>
      </w:pPr>
      <w:r>
        <w:t xml:space="preserve"> Cinq représentants des associations de la société civile représentée au sein du Conseil national des droits de l’Homme. </w:t>
      </w:r>
    </w:p>
    <w:p w:rsidR="00BC3E8F" w:rsidRDefault="00484BD8" w:rsidP="003A582A">
      <w:pPr>
        <w:jc w:val="both"/>
      </w:pPr>
      <w:r>
        <w:t xml:space="preserve">Le Président de la Commission peut inviter toute personne qualifiée à participer, à titre consultatif, aux travaux de la Commission. </w:t>
      </w:r>
    </w:p>
    <w:p w:rsidR="00BC3E8F" w:rsidRPr="00BC3E8F" w:rsidRDefault="00484BD8" w:rsidP="003A582A">
      <w:pPr>
        <w:jc w:val="both"/>
        <w:rPr>
          <w:b/>
          <w:bCs/>
        </w:rPr>
      </w:pPr>
      <w:r w:rsidRPr="00BC3E8F">
        <w:rPr>
          <w:b/>
          <w:bCs/>
        </w:rPr>
        <w:t xml:space="preserve">Article </w:t>
      </w:r>
      <w:r w:rsidR="00BC3E8F" w:rsidRPr="00BC3E8F">
        <w:rPr>
          <w:b/>
          <w:bCs/>
        </w:rPr>
        <w:t>3 :</w:t>
      </w:r>
      <w:r w:rsidRPr="00BC3E8F">
        <w:rPr>
          <w:b/>
          <w:bCs/>
        </w:rPr>
        <w:t xml:space="preserve"> Secrétariat de la Commission </w:t>
      </w:r>
    </w:p>
    <w:p w:rsidR="00BC3E8F" w:rsidRDefault="00484BD8" w:rsidP="003A582A">
      <w:pPr>
        <w:jc w:val="both"/>
      </w:pPr>
      <w:r>
        <w:t xml:space="preserve">Le secrétariat de la Commission est confié au secrétaire général du Conseil national des droits de l’Homme ou à son représentant au sein du CNDH. </w:t>
      </w:r>
    </w:p>
    <w:p w:rsidR="009B5603" w:rsidRDefault="00484BD8" w:rsidP="003A582A">
      <w:pPr>
        <w:jc w:val="both"/>
      </w:pPr>
      <w:r>
        <w:t>Le secrétariat</w:t>
      </w:r>
      <w:r w:rsidR="003A582A">
        <w:t xml:space="preserve"> </w:t>
      </w:r>
      <w:r w:rsidR="00BC3E8F">
        <w:t>de la Commission</w:t>
      </w:r>
      <w:r>
        <w:t xml:space="preserve"> veille à l’organisation des travaux de la Commission et à la rédaction des procès-verbaux des délibérations de ses réunions, </w:t>
      </w:r>
      <w:r w:rsidR="00BC3E8F">
        <w:t>tout en assurant leur communication aux membres de la Commission</w:t>
      </w:r>
      <w:r w:rsidR="00BC3E8F" w:rsidRPr="00BC3E8F">
        <w:t xml:space="preserve"> sous la supervision d</w:t>
      </w:r>
      <w:r w:rsidR="007B45B8">
        <w:t>e la</w:t>
      </w:r>
      <w:r w:rsidR="00BC3E8F" w:rsidRPr="00BC3E8F">
        <w:t xml:space="preserve"> président</w:t>
      </w:r>
      <w:r w:rsidR="007B45B8">
        <w:t>e</w:t>
      </w:r>
      <w:r w:rsidR="00BC3E8F" w:rsidRPr="00BC3E8F">
        <w:t xml:space="preserve"> du </w:t>
      </w:r>
      <w:r w:rsidR="003A582A">
        <w:t>C</w:t>
      </w:r>
      <w:r w:rsidR="00BC3E8F" w:rsidRPr="00BC3E8F">
        <w:t>onseil.</w:t>
      </w:r>
    </w:p>
    <w:p w:rsidR="00BC3E8F" w:rsidRDefault="00484BD8" w:rsidP="003A582A">
      <w:pPr>
        <w:pStyle w:val="Paragraphedeliste"/>
        <w:ind w:left="0"/>
        <w:jc w:val="both"/>
      </w:pPr>
      <w:r>
        <w:t>Les procès-verbaux sont consignés dans un registre numéroté et paraphé par l</w:t>
      </w:r>
      <w:r w:rsidR="007B45B8">
        <w:t>a</w:t>
      </w:r>
      <w:r>
        <w:t xml:space="preserve"> Président</w:t>
      </w:r>
      <w:r w:rsidR="007B45B8">
        <w:t>e</w:t>
      </w:r>
      <w:r>
        <w:t xml:space="preserve"> du Conseil national des droits de l’Homme et son Secrétaire général.</w:t>
      </w:r>
    </w:p>
    <w:p w:rsidR="007B45B8" w:rsidRPr="007B45B8" w:rsidRDefault="00484BD8" w:rsidP="003A582A">
      <w:pPr>
        <w:jc w:val="both"/>
        <w:rPr>
          <w:b/>
          <w:bCs/>
        </w:rPr>
      </w:pPr>
      <w:r w:rsidRPr="007B45B8">
        <w:rPr>
          <w:b/>
          <w:bCs/>
        </w:rPr>
        <w:t xml:space="preserve">Article </w:t>
      </w:r>
      <w:r w:rsidR="007B45B8" w:rsidRPr="007B45B8">
        <w:rPr>
          <w:b/>
          <w:bCs/>
        </w:rPr>
        <w:t>4 :</w:t>
      </w:r>
      <w:r w:rsidRPr="007B45B8">
        <w:rPr>
          <w:b/>
          <w:bCs/>
        </w:rPr>
        <w:t xml:space="preserve"> Convocation des réunions et ordre du jour </w:t>
      </w:r>
    </w:p>
    <w:p w:rsidR="009B5603" w:rsidRDefault="00484BD8" w:rsidP="003A582A">
      <w:pPr>
        <w:jc w:val="both"/>
      </w:pPr>
      <w:r>
        <w:t>La Commission se réunit à l’invitation de s</w:t>
      </w:r>
      <w:r w:rsidR="009B5603">
        <w:t>a</w:t>
      </w:r>
      <w:r>
        <w:t xml:space="preserve"> président</w:t>
      </w:r>
      <w:r w:rsidR="009B5603">
        <w:t>e</w:t>
      </w:r>
      <w:r>
        <w:t xml:space="preserve"> s</w:t>
      </w:r>
      <w:r w:rsidR="003A582A">
        <w:t>elon un ordre du jour déterminé</w:t>
      </w:r>
      <w:r>
        <w:t>.</w:t>
      </w:r>
      <w:r w:rsidR="003A582A">
        <w:t xml:space="preserve"> </w:t>
      </w:r>
      <w:r>
        <w:t xml:space="preserve">L'ordre du jour est communiqué aux membres de la Commission par tous les moyens disponibles, en y indiquant la date et le lieu de la réunion. </w:t>
      </w:r>
    </w:p>
    <w:p w:rsidR="009B5603" w:rsidRDefault="009B5603" w:rsidP="003A582A">
      <w:pPr>
        <w:pStyle w:val="Paragraphedeliste"/>
        <w:ind w:left="0"/>
        <w:jc w:val="both"/>
      </w:pPr>
      <w:r w:rsidRPr="009B5603">
        <w:lastRenderedPageBreak/>
        <w:t>L</w:t>
      </w:r>
      <w:r>
        <w:t>a convoc</w:t>
      </w:r>
      <w:r w:rsidRPr="009B5603">
        <w:t>a</w:t>
      </w:r>
      <w:r w:rsidR="003A582A">
        <w:t xml:space="preserve">tion est envoyée aux membres de la Commission </w:t>
      </w:r>
      <w:r w:rsidRPr="009B5603">
        <w:t xml:space="preserve">au moins 48 heures avant la date de la réunion. Exceptionnellement, les membres </w:t>
      </w:r>
      <w:r w:rsidR="003A582A">
        <w:t>de la Commission</w:t>
      </w:r>
      <w:r w:rsidRPr="009B5603">
        <w:t xml:space="preserve"> sont convoqués en cas d'urgence, chaque fois que nécessaire.</w:t>
      </w:r>
    </w:p>
    <w:p w:rsidR="009B5603" w:rsidRPr="009B5603" w:rsidRDefault="00484BD8" w:rsidP="003A582A">
      <w:pPr>
        <w:jc w:val="both"/>
        <w:rPr>
          <w:b/>
          <w:bCs/>
        </w:rPr>
      </w:pPr>
      <w:r w:rsidRPr="009B5603">
        <w:rPr>
          <w:b/>
          <w:bCs/>
        </w:rPr>
        <w:t xml:space="preserve">Article </w:t>
      </w:r>
      <w:r w:rsidR="009B5603" w:rsidRPr="009B5603">
        <w:rPr>
          <w:b/>
          <w:bCs/>
        </w:rPr>
        <w:t>5 :</w:t>
      </w:r>
      <w:r w:rsidRPr="009B5603">
        <w:rPr>
          <w:b/>
          <w:bCs/>
        </w:rPr>
        <w:t xml:space="preserve"> Quorum </w:t>
      </w:r>
    </w:p>
    <w:p w:rsidR="0098476E" w:rsidRDefault="00484BD8" w:rsidP="003A582A">
      <w:pPr>
        <w:jc w:val="both"/>
      </w:pPr>
      <w:r>
        <w:t xml:space="preserve">Les réunions de la Commission aux fins de délibération sont valables dès lors que la moitié au moins de ses membres sont présents. Si ce quorum n’est pas atteint lors de la première réunion, une deuxième réunion sera convoquée selon les formes et les délais prévus à l'article 4 </w:t>
      </w:r>
      <w:r w:rsidR="0098476E">
        <w:t>ci-dessus</w:t>
      </w:r>
      <w:r>
        <w:t xml:space="preserve">, et lors de cette nouvelle réunion, elle pourra valablement délibérer quel que soit le nombre des membres présents. </w:t>
      </w:r>
    </w:p>
    <w:p w:rsidR="0098476E" w:rsidRDefault="00484BD8" w:rsidP="003A582A">
      <w:pPr>
        <w:jc w:val="both"/>
      </w:pPr>
      <w:r>
        <w:t xml:space="preserve">Le quorum est calculé à l'ouverture de la séance. Le retrait d’un membre pour quelque raison que ce soit n’aura aucune incidence sur le quorum tout au long de la réunion. </w:t>
      </w:r>
    </w:p>
    <w:p w:rsidR="0098476E" w:rsidRPr="0098476E" w:rsidRDefault="00484BD8" w:rsidP="003A582A">
      <w:pPr>
        <w:jc w:val="both"/>
        <w:rPr>
          <w:b/>
          <w:bCs/>
        </w:rPr>
      </w:pPr>
      <w:r w:rsidRPr="0098476E">
        <w:rPr>
          <w:b/>
          <w:bCs/>
        </w:rPr>
        <w:t xml:space="preserve">Article </w:t>
      </w:r>
      <w:r w:rsidR="0098476E" w:rsidRPr="0098476E">
        <w:rPr>
          <w:b/>
          <w:bCs/>
        </w:rPr>
        <w:t>6 :</w:t>
      </w:r>
      <w:r w:rsidRPr="0098476E">
        <w:rPr>
          <w:b/>
          <w:bCs/>
        </w:rPr>
        <w:t xml:space="preserve"> Délibérations </w:t>
      </w:r>
    </w:p>
    <w:p w:rsidR="0098476E" w:rsidRDefault="00484BD8" w:rsidP="003A582A">
      <w:pPr>
        <w:jc w:val="both"/>
      </w:pPr>
      <w:r>
        <w:t>La Commission prend ses décisions à la majorité absolue des membres présents. Dans le cas d'une égalité des voix, celle d</w:t>
      </w:r>
      <w:r w:rsidR="0098476E">
        <w:t>a la</w:t>
      </w:r>
      <w:r>
        <w:t xml:space="preserve"> Président</w:t>
      </w:r>
      <w:r w:rsidR="0098476E">
        <w:t>e</w:t>
      </w:r>
      <w:r>
        <w:t xml:space="preserve"> </w:t>
      </w:r>
      <w:r w:rsidR="003A582A">
        <w:t xml:space="preserve">de la Commission ou son représentant </w:t>
      </w:r>
      <w:r>
        <w:t xml:space="preserve">est prépondérante. </w:t>
      </w:r>
    </w:p>
    <w:p w:rsidR="0098476E" w:rsidRDefault="00484BD8" w:rsidP="003A582A">
      <w:pPr>
        <w:jc w:val="both"/>
      </w:pPr>
      <w:r>
        <w:t xml:space="preserve">Le vote se fait à main levée. </w:t>
      </w:r>
    </w:p>
    <w:p w:rsidR="0098476E" w:rsidRDefault="00484BD8" w:rsidP="003A582A">
      <w:pPr>
        <w:jc w:val="both"/>
      </w:pPr>
      <w:r>
        <w:t>L</w:t>
      </w:r>
      <w:r w:rsidR="0098476E">
        <w:t>a</w:t>
      </w:r>
      <w:r>
        <w:t xml:space="preserve"> Président</w:t>
      </w:r>
      <w:r w:rsidR="0098476E">
        <w:t>e</w:t>
      </w:r>
      <w:r>
        <w:t xml:space="preserve"> de la Commission et son secrétaire signent les décisions de la Commission qui, dans l'ordre chronologique, sont consignés sur le registre prévu à l'article 3 ci-dessus. </w:t>
      </w:r>
    </w:p>
    <w:p w:rsidR="0098476E" w:rsidRDefault="00484BD8" w:rsidP="003A582A">
      <w:pPr>
        <w:jc w:val="both"/>
      </w:pPr>
      <w:r w:rsidRPr="0098476E">
        <w:rPr>
          <w:b/>
          <w:bCs/>
        </w:rPr>
        <w:t xml:space="preserve">Article </w:t>
      </w:r>
      <w:r w:rsidR="0098476E" w:rsidRPr="0098476E">
        <w:rPr>
          <w:b/>
          <w:bCs/>
        </w:rPr>
        <w:t>7 :</w:t>
      </w:r>
      <w:r w:rsidRPr="0098476E">
        <w:rPr>
          <w:b/>
          <w:bCs/>
        </w:rPr>
        <w:t>Procès-verbaux de</w:t>
      </w:r>
      <w:r w:rsidR="0098476E">
        <w:rPr>
          <w:b/>
          <w:bCs/>
        </w:rPr>
        <w:t>s</w:t>
      </w:r>
      <w:r w:rsidRPr="0098476E">
        <w:rPr>
          <w:b/>
          <w:bCs/>
        </w:rPr>
        <w:t xml:space="preserve"> réunions</w:t>
      </w:r>
    </w:p>
    <w:p w:rsidR="00614672" w:rsidRDefault="00484BD8" w:rsidP="003A582A">
      <w:pPr>
        <w:jc w:val="both"/>
      </w:pPr>
      <w:r>
        <w:t>Les procès-verbaux des réunions sont consignés dans un registre numéroté et paraphé par l</w:t>
      </w:r>
      <w:r w:rsidR="0098476E">
        <w:t>a</w:t>
      </w:r>
      <w:r>
        <w:t xml:space="preserve"> Président</w:t>
      </w:r>
      <w:r w:rsidR="0098476E">
        <w:t>e</w:t>
      </w:r>
      <w:r>
        <w:t xml:space="preserve"> </w:t>
      </w:r>
      <w:r w:rsidR="003A582A">
        <w:t>de la Commission</w:t>
      </w:r>
      <w:r>
        <w:t xml:space="preserve"> et son Secrétaire. Ils sont communiqués à tous les membres de la Commission avant la prochaine réunion. </w:t>
      </w:r>
    </w:p>
    <w:p w:rsidR="00614672" w:rsidRPr="00614672" w:rsidRDefault="00484BD8" w:rsidP="003A582A">
      <w:pPr>
        <w:jc w:val="both"/>
        <w:rPr>
          <w:b/>
          <w:bCs/>
        </w:rPr>
      </w:pPr>
      <w:r w:rsidRPr="00614672">
        <w:rPr>
          <w:b/>
          <w:bCs/>
        </w:rPr>
        <w:t xml:space="preserve">Article </w:t>
      </w:r>
      <w:r w:rsidR="00614672" w:rsidRPr="00614672">
        <w:rPr>
          <w:b/>
          <w:bCs/>
        </w:rPr>
        <w:t>8 :</w:t>
      </w:r>
      <w:r w:rsidRPr="00614672">
        <w:rPr>
          <w:b/>
          <w:bCs/>
        </w:rPr>
        <w:t xml:space="preserve"> Devoir de réserve et maintien de la confidentialité des délibérations de la Commission</w:t>
      </w:r>
    </w:p>
    <w:p w:rsidR="00614672" w:rsidRDefault="00484BD8" w:rsidP="003A582A">
      <w:pPr>
        <w:jc w:val="both"/>
      </w:pPr>
      <w:r>
        <w:t xml:space="preserve"> Chaque membre de la Commission et participant à ses réunions est tenu par le devoir de réserve et d’observation de la confidentialité des délibérations. </w:t>
      </w:r>
    </w:p>
    <w:p w:rsidR="00614672" w:rsidRDefault="00614672" w:rsidP="008C4454">
      <w:pPr>
        <w:jc w:val="both"/>
      </w:pPr>
      <w:r w:rsidRPr="00614672">
        <w:t>Les membres d</w:t>
      </w:r>
      <w:r>
        <w:t>e</w:t>
      </w:r>
      <w:r w:rsidR="008C4454">
        <w:t xml:space="preserve"> </w:t>
      </w:r>
      <w:r>
        <w:t xml:space="preserve">la Commission </w:t>
      </w:r>
      <w:r w:rsidRPr="00614672">
        <w:t>et chaque participant à ses réunions sont liés par la charte déontologique du Conseil national des droits de l'</w:t>
      </w:r>
      <w:r w:rsidR="008C4454">
        <w:t>H</w:t>
      </w:r>
      <w:r w:rsidRPr="00614672">
        <w:t>omme annexée à s</w:t>
      </w:r>
      <w:r>
        <w:t>on</w:t>
      </w:r>
      <w:r w:rsidRPr="00614672">
        <w:t xml:space="preserve"> </w:t>
      </w:r>
      <w:r w:rsidR="008C4454">
        <w:t>règlement intérieur</w:t>
      </w:r>
      <w:r w:rsidRPr="00614672">
        <w:t>.</w:t>
      </w:r>
    </w:p>
    <w:p w:rsidR="00614672" w:rsidRDefault="00484BD8" w:rsidP="003A582A">
      <w:pPr>
        <w:jc w:val="both"/>
      </w:pPr>
      <w:r w:rsidRPr="00614672">
        <w:rPr>
          <w:b/>
          <w:bCs/>
        </w:rPr>
        <w:t xml:space="preserve">Article </w:t>
      </w:r>
      <w:r w:rsidR="00614672" w:rsidRPr="00614672">
        <w:rPr>
          <w:b/>
          <w:bCs/>
        </w:rPr>
        <w:t>9 :</w:t>
      </w:r>
      <w:r w:rsidRPr="00614672">
        <w:rPr>
          <w:b/>
          <w:bCs/>
        </w:rPr>
        <w:t xml:space="preserve"> Accréditation</w:t>
      </w:r>
    </w:p>
    <w:p w:rsidR="00B81D6F" w:rsidRDefault="00484BD8" w:rsidP="008C4454">
      <w:pPr>
        <w:jc w:val="both"/>
        <w:rPr>
          <w:rtl/>
        </w:rPr>
      </w:pPr>
      <w:r>
        <w:t xml:space="preserve">La Commission statue sur les demandes d’accréditation des observateurs des élections </w:t>
      </w:r>
      <w:r w:rsidR="008C4454">
        <w:t>conformément aux</w:t>
      </w:r>
      <w:r>
        <w:t xml:space="preserve"> conditi</w:t>
      </w:r>
      <w:r w:rsidR="008C4454">
        <w:t xml:space="preserve">ons, </w:t>
      </w:r>
      <w:r>
        <w:t xml:space="preserve">modalités et délais énoncés dans les </w:t>
      </w:r>
      <w:r w:rsidR="000F0E38">
        <w:t xml:space="preserve">chapitres I et II de la loi </w:t>
      </w:r>
      <w:r w:rsidR="008C4454" w:rsidRPr="008C4454">
        <w:t>N</w:t>
      </w:r>
      <w:r w:rsidR="000F0E38">
        <w:t>° 30.11</w:t>
      </w:r>
      <w:r>
        <w:t xml:space="preserve">. </w:t>
      </w:r>
    </w:p>
    <w:p w:rsidR="000F0E38" w:rsidRPr="000F0E38" w:rsidRDefault="00484BD8" w:rsidP="003A582A">
      <w:pPr>
        <w:jc w:val="both"/>
        <w:rPr>
          <w:b/>
          <w:bCs/>
        </w:rPr>
      </w:pPr>
      <w:r w:rsidRPr="000F0E38">
        <w:rPr>
          <w:b/>
          <w:bCs/>
        </w:rPr>
        <w:t xml:space="preserve">Article </w:t>
      </w:r>
      <w:r w:rsidR="00B81D6F" w:rsidRPr="000F0E38">
        <w:rPr>
          <w:b/>
          <w:bCs/>
        </w:rPr>
        <w:t>10 :</w:t>
      </w:r>
      <w:r w:rsidRPr="000F0E38">
        <w:rPr>
          <w:b/>
          <w:bCs/>
        </w:rPr>
        <w:t xml:space="preserve"> Retrait de l'accréditation </w:t>
      </w:r>
    </w:p>
    <w:p w:rsidR="000F0E38" w:rsidRDefault="00484BD8" w:rsidP="003A582A">
      <w:pPr>
        <w:jc w:val="both"/>
      </w:pPr>
      <w:r>
        <w:t>En cas de violation par l’observateur ou l’observatrice, des dispositions de l'article 17 de la loi</w:t>
      </w:r>
      <w:r w:rsidR="008C4454">
        <w:t xml:space="preserve"> N</w:t>
      </w:r>
      <w:r>
        <w:t xml:space="preserve"> 30.11, la Commission prend la décision de retrait de la carte d’accréditation et du badge de l’observateur ou de l’observatrice contrevenant. </w:t>
      </w:r>
    </w:p>
    <w:p w:rsidR="008C4454" w:rsidRDefault="00484BD8" w:rsidP="003A582A">
      <w:pPr>
        <w:jc w:val="both"/>
      </w:pPr>
      <w:r>
        <w:t>L</w:t>
      </w:r>
      <w:r w:rsidR="000F0E38">
        <w:t>a</w:t>
      </w:r>
      <w:r>
        <w:t xml:space="preserve"> Commission reçoit les procès-verbaux, les communiqués et les déclarations concernant les violations prévues par la loi n° 30.11 et la Charte, par tous les moyens possibles. Elle prend le cas </w:t>
      </w:r>
      <w:r>
        <w:lastRenderedPageBreak/>
        <w:t xml:space="preserve">échéant, la décision de retrait de l'accréditation et de l’interdiction d’accomplir la mission d'observation, ou bien la décision de retrait immédiat de l'accréditation octroyé par l’organisme concerné. </w:t>
      </w:r>
    </w:p>
    <w:p w:rsidR="008C4454" w:rsidRDefault="00484BD8" w:rsidP="008C4454">
      <w:pPr>
        <w:jc w:val="both"/>
      </w:pPr>
      <w:r>
        <w:t xml:space="preserve">La décision de retrait de la carte d'accréditation et du badge est notifiée à l’observateur ou à l’observatrice concernée (e) par l’intermédiaire de l’organisme qui l’a accrédité, en l’avisant selon la modalité édictée dans l'article 18 de la loi </w:t>
      </w:r>
      <w:r w:rsidR="008C4454">
        <w:t>N</w:t>
      </w:r>
      <w:r>
        <w:t xml:space="preserve">° 30.11. </w:t>
      </w:r>
    </w:p>
    <w:p w:rsidR="00E74979" w:rsidRDefault="00484BD8" w:rsidP="008C4454">
      <w:pPr>
        <w:jc w:val="both"/>
      </w:pPr>
      <w:r>
        <w:t>La décision de retrait de l'accréditation de l'organisme concerné est notifiée à son représentant légal.</w:t>
      </w:r>
    </w:p>
    <w:p w:rsidR="00A11AF6" w:rsidRPr="000F0E38" w:rsidRDefault="00484BD8" w:rsidP="003A582A">
      <w:pPr>
        <w:jc w:val="both"/>
        <w:rPr>
          <w:b/>
          <w:bCs/>
        </w:rPr>
      </w:pPr>
      <w:r>
        <w:t xml:space="preserve"> Il est procédé à la notification de toutes les décisions de retrait des cartes et badges d’observateurs et observatrices, et celles de retrait d’accréditation de l’organisme concerné, aux autorités gouvernementales compétentes en vue de leur mise en œuvre.</w:t>
      </w:r>
    </w:p>
    <w:sectPr w:rsidR="00A11AF6" w:rsidRPr="000F0E38" w:rsidSect="00E7765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FCB" w:rsidRDefault="006B6FCB" w:rsidP="00033DF4">
      <w:pPr>
        <w:spacing w:after="0" w:line="240" w:lineRule="auto"/>
      </w:pPr>
      <w:r>
        <w:separator/>
      </w:r>
    </w:p>
  </w:endnote>
  <w:endnote w:type="continuationSeparator" w:id="1">
    <w:p w:rsidR="006B6FCB" w:rsidRDefault="006B6FCB" w:rsidP="00033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FCB" w:rsidRDefault="006B6FCB" w:rsidP="00033DF4">
      <w:pPr>
        <w:spacing w:after="0" w:line="240" w:lineRule="auto"/>
      </w:pPr>
      <w:r>
        <w:separator/>
      </w:r>
    </w:p>
  </w:footnote>
  <w:footnote w:type="continuationSeparator" w:id="1">
    <w:p w:rsidR="006B6FCB" w:rsidRDefault="006B6FCB" w:rsidP="00033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F4" w:rsidRDefault="00033DF4" w:rsidP="00033DF4">
    <w:pPr>
      <w:pStyle w:val="En-tte"/>
      <w:tabs>
        <w:tab w:val="clear" w:pos="4536"/>
        <w:tab w:val="clear" w:pos="9072"/>
        <w:tab w:val="right" w:pos="9070"/>
      </w:tabs>
    </w:pPr>
    <w:r>
      <w:rPr>
        <w:noProof/>
        <w:lang w:eastAsia="fr-FR"/>
      </w:rPr>
      <w:drawing>
        <wp:inline distT="0" distB="0" distL="0" distR="0">
          <wp:extent cx="1310640" cy="853440"/>
          <wp:effectExtent l="19050" t="0" r="3810" b="0"/>
          <wp:docPr id="2" name="Image 2" descr="logo c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ndh"/>
                  <pic:cNvPicPr>
                    <a:picLocks noChangeAspect="1" noChangeArrowheads="1"/>
                  </pic:cNvPicPr>
                </pic:nvPicPr>
                <pic:blipFill>
                  <a:blip r:embed="rId1"/>
                  <a:srcRect/>
                  <a:stretch>
                    <a:fillRect/>
                  </a:stretch>
                </pic:blipFill>
                <pic:spPr bwMode="auto">
                  <a:xfrm>
                    <a:off x="0" y="0"/>
                    <a:ext cx="1310640" cy="853440"/>
                  </a:xfrm>
                  <a:prstGeom prst="rect">
                    <a:avLst/>
                  </a:prstGeom>
                  <a:noFill/>
                  <a:ln w="9525">
                    <a:noFill/>
                    <a:miter lim="800000"/>
                    <a:headEnd/>
                    <a:tailEnd/>
                  </a:ln>
                </pic:spPr>
              </pic:pic>
            </a:graphicData>
          </a:graphic>
        </wp:inline>
      </w:drawing>
    </w:r>
    <w:r>
      <w:tab/>
    </w:r>
    <w:r>
      <w:rPr>
        <w:noProof/>
        <w:lang w:eastAsia="fr-FR"/>
      </w:rPr>
      <w:drawing>
        <wp:inline distT="0" distB="0" distL="0" distR="0">
          <wp:extent cx="2766060" cy="937260"/>
          <wp:effectExtent l="0" t="0" r="0" b="0"/>
          <wp:docPr id="1" name="Image 1" descr="C:\Users\m.sadki\Downloads\Logo Election New FR EN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ki\Downloads\Logo Election New FR EN AM.png"/>
                  <pic:cNvPicPr>
                    <a:picLocks noChangeAspect="1" noChangeArrowheads="1"/>
                  </pic:cNvPicPr>
                </pic:nvPicPr>
                <pic:blipFill>
                  <a:blip r:embed="rId2"/>
                  <a:srcRect/>
                  <a:stretch>
                    <a:fillRect/>
                  </a:stretch>
                </pic:blipFill>
                <pic:spPr bwMode="auto">
                  <a:xfrm>
                    <a:off x="0" y="0"/>
                    <a:ext cx="2766060" cy="937260"/>
                  </a:xfrm>
                  <a:prstGeom prst="rect">
                    <a:avLst/>
                  </a:prstGeom>
                  <a:noFill/>
                  <a:ln w="9525">
                    <a:noFill/>
                    <a:miter lim="800000"/>
                    <a:headEnd/>
                    <a:tailEnd/>
                  </a:ln>
                </pic:spPr>
              </pic:pic>
            </a:graphicData>
          </a:graphic>
        </wp:inline>
      </w:drawing>
    </w:r>
  </w:p>
  <w:p w:rsidR="00033DF4" w:rsidRDefault="00033D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3F0"/>
    <w:multiLevelType w:val="hybridMultilevel"/>
    <w:tmpl w:val="02F2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4BD8"/>
    <w:rsid w:val="00026AB2"/>
    <w:rsid w:val="00033DF4"/>
    <w:rsid w:val="000A4586"/>
    <w:rsid w:val="000F0E38"/>
    <w:rsid w:val="001D44C6"/>
    <w:rsid w:val="003A582A"/>
    <w:rsid w:val="0042609C"/>
    <w:rsid w:val="00456A7B"/>
    <w:rsid w:val="00484BD8"/>
    <w:rsid w:val="004D3E80"/>
    <w:rsid w:val="005F6B79"/>
    <w:rsid w:val="00614672"/>
    <w:rsid w:val="006B6FCB"/>
    <w:rsid w:val="007B45B8"/>
    <w:rsid w:val="008C4454"/>
    <w:rsid w:val="0098476E"/>
    <w:rsid w:val="009B5603"/>
    <w:rsid w:val="009E0ACD"/>
    <w:rsid w:val="00B50140"/>
    <w:rsid w:val="00B7342A"/>
    <w:rsid w:val="00B81D6F"/>
    <w:rsid w:val="00BC3E8F"/>
    <w:rsid w:val="00E74979"/>
    <w:rsid w:val="00E776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B79"/>
    <w:pPr>
      <w:ind w:left="720"/>
      <w:contextualSpacing/>
    </w:pPr>
  </w:style>
  <w:style w:type="paragraph" w:styleId="PrformatHTML">
    <w:name w:val="HTML Preformatted"/>
    <w:basedOn w:val="Normal"/>
    <w:link w:val="PrformatHTMLCar"/>
    <w:uiPriority w:val="99"/>
    <w:semiHidden/>
    <w:unhideWhenUsed/>
    <w:rsid w:val="00BC3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C3E8F"/>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33DF4"/>
    <w:pPr>
      <w:tabs>
        <w:tab w:val="center" w:pos="4536"/>
        <w:tab w:val="right" w:pos="9072"/>
      </w:tabs>
      <w:spacing w:after="0" w:line="240" w:lineRule="auto"/>
    </w:pPr>
  </w:style>
  <w:style w:type="character" w:customStyle="1" w:styleId="En-tteCar">
    <w:name w:val="En-tête Car"/>
    <w:basedOn w:val="Policepardfaut"/>
    <w:link w:val="En-tte"/>
    <w:uiPriority w:val="99"/>
    <w:rsid w:val="00033DF4"/>
  </w:style>
  <w:style w:type="paragraph" w:styleId="Pieddepage">
    <w:name w:val="footer"/>
    <w:basedOn w:val="Normal"/>
    <w:link w:val="PieddepageCar"/>
    <w:uiPriority w:val="99"/>
    <w:semiHidden/>
    <w:unhideWhenUsed/>
    <w:rsid w:val="00033D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33DF4"/>
  </w:style>
  <w:style w:type="paragraph" w:styleId="Textedebulles">
    <w:name w:val="Balloon Text"/>
    <w:basedOn w:val="Normal"/>
    <w:link w:val="TextedebullesCar"/>
    <w:uiPriority w:val="99"/>
    <w:semiHidden/>
    <w:unhideWhenUsed/>
    <w:rsid w:val="00033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546355">
      <w:bodyDiv w:val="1"/>
      <w:marLeft w:val="0"/>
      <w:marRight w:val="0"/>
      <w:marTop w:val="0"/>
      <w:marBottom w:val="0"/>
      <w:divBdr>
        <w:top w:val="none" w:sz="0" w:space="0" w:color="auto"/>
        <w:left w:val="none" w:sz="0" w:space="0" w:color="auto"/>
        <w:bottom w:val="none" w:sz="0" w:space="0" w:color="auto"/>
        <w:right w:val="none" w:sz="0" w:space="0" w:color="auto"/>
      </w:divBdr>
    </w:div>
    <w:div w:id="660352251">
      <w:bodyDiv w:val="1"/>
      <w:marLeft w:val="0"/>
      <w:marRight w:val="0"/>
      <w:marTop w:val="0"/>
      <w:marBottom w:val="0"/>
      <w:divBdr>
        <w:top w:val="none" w:sz="0" w:space="0" w:color="auto"/>
        <w:left w:val="none" w:sz="0" w:space="0" w:color="auto"/>
        <w:bottom w:val="none" w:sz="0" w:space="0" w:color="auto"/>
        <w:right w:val="none" w:sz="0" w:space="0" w:color="auto"/>
      </w:divBdr>
    </w:div>
    <w:div w:id="717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Modaffar</dc:creator>
  <cp:lastModifiedBy>m.sadki</cp:lastModifiedBy>
  <cp:revision>5</cp:revision>
  <dcterms:created xsi:type="dcterms:W3CDTF">2021-05-21T12:52:00Z</dcterms:created>
  <dcterms:modified xsi:type="dcterms:W3CDTF">2021-05-21T15:09:00Z</dcterms:modified>
</cp:coreProperties>
</file>