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widowControl w:val="0"/>
        <w:spacing w:before="83"/>
        <w:ind w:left="457" w:firstLine="0"/>
        <w:outlineLvl w:val="0"/>
        <w:rPr>
          <w:rFonts w:ascii="Times New Roman" w:hAnsi="Times New Roman"/>
          <w:b w:val="1"/>
          <w:bCs w:val="1"/>
          <w:sz w:val="24"/>
          <w:szCs w:val="24"/>
          <w:u w:color="000000"/>
          <w:lang w:val="en-US"/>
        </w:rPr>
      </w:pPr>
    </w:p>
    <w:p>
      <w:pPr>
        <w:pStyle w:val="Default"/>
        <w:widowControl w:val="0"/>
        <w:spacing w:before="83"/>
        <w:ind w:left="457" w:firstLine="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INDEPENDENT AND IMPARTIAL ELECTION OBSERVATION</w:t>
      </w:r>
      <w:r>
        <w:rPr>
          <w:rFonts w:ascii="Times New Roman" w:hAnsi="Times New Roman"/>
          <w:b w:val="1"/>
          <w:bCs w:val="1"/>
          <w:spacing w:val="57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CHARTER</w:t>
      </w:r>
    </w:p>
    <w:p>
      <w:pPr>
        <w:pStyle w:val="Default"/>
        <w:widowControl w:val="0"/>
        <w:spacing w:before="7"/>
        <w:rPr>
          <w:rFonts w:ascii="Times New Roman" w:cs="Times New Roman" w:hAnsi="Times New Roman" w:eastAsia="Times New Roman"/>
          <w:b w:val="1"/>
          <w:bCs w:val="1"/>
          <w:sz w:val="20"/>
          <w:szCs w:val="20"/>
          <w:u w:color="000000"/>
          <w:lang w:val="en-US"/>
        </w:rPr>
      </w:pPr>
    </w:p>
    <w:p>
      <w:pPr>
        <w:pStyle w:val="Body A"/>
        <w:widowControl w:val="0"/>
        <w:ind w:left="116" w:firstLine="0"/>
        <w:jc w:val="both"/>
        <w:rPr>
          <w:rFonts w:ascii="Times New Roman" w:cs="Times New Roman" w:hAnsi="Times New Roman" w:eastAsia="Times New Roman"/>
          <w:u w:color="000000"/>
        </w:rPr>
      </w:pPr>
    </w:p>
    <w:p>
      <w:pPr>
        <w:pStyle w:val="Body A"/>
        <w:widowControl w:val="0"/>
        <w:ind w:left="116" w:firstLine="0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</w:rPr>
      </w:pP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en-US"/>
        </w:rPr>
        <w:t>In accordance with:</w:t>
      </w:r>
    </w:p>
    <w:p>
      <w:pPr>
        <w:pStyle w:val="Default"/>
        <w:widowControl w:val="0"/>
        <w:spacing w:before="9"/>
        <w:jc w:val="both"/>
        <w:rPr>
          <w:rFonts w:ascii="Times New Roman" w:cs="Times New Roman" w:hAnsi="Times New Roman" w:eastAsia="Times New Roman"/>
          <w:i w:val="1"/>
          <w:iCs w:val="1"/>
          <w:u w:color="000000"/>
          <w:lang w:val="en-US"/>
        </w:rPr>
      </w:pPr>
    </w:p>
    <w:p>
      <w:pPr>
        <w:pStyle w:val="Body A"/>
        <w:widowControl w:val="0"/>
        <w:ind w:left="822" w:firstLine="0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</w:rPr>
      </w:pP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en-US"/>
        </w:rPr>
        <w:t>The Universal Declaration of Human Rights, mainly paragraph 3 of Article 21;</w:t>
      </w:r>
    </w:p>
    <w:p>
      <w:pPr>
        <w:pStyle w:val="Body A"/>
        <w:widowControl w:val="0"/>
        <w:spacing w:before="165"/>
        <w:ind w:left="822" w:firstLine="0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</w:rPr>
      </w:pP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en-US"/>
        </w:rPr>
        <w:t>The International Covenant on Civil and Political Rights, mainly paragraph (b) of Article 25;</w:t>
      </w:r>
    </w:p>
    <w:p>
      <w:pPr>
        <w:pStyle w:val="Body A"/>
        <w:widowControl w:val="0"/>
        <w:spacing w:before="173" w:line="232" w:lineRule="auto"/>
        <w:ind w:left="822" w:right="120" w:firstLine="0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</w:rPr>
      </w:pP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en-US"/>
        </w:rPr>
        <w:t>The</w:t>
      </w:r>
      <w:r>
        <w:rPr>
          <w:rFonts w:ascii="Times New Roman" w:hAnsi="Times New Roman"/>
          <w:i w:val="1"/>
          <w:iCs w:val="1"/>
          <w:spacing w:val="-26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fr-FR"/>
        </w:rPr>
        <w:t>Convention</w:t>
      </w:r>
      <w:r>
        <w:rPr>
          <w:rFonts w:ascii="Times New Roman" w:hAnsi="Times New Roman"/>
          <w:i w:val="1"/>
          <w:iCs w:val="1"/>
          <w:spacing w:val="-26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on</w:t>
      </w:r>
      <w:r>
        <w:rPr>
          <w:rFonts w:ascii="Times New Roman" w:hAnsi="Times New Roman"/>
          <w:i w:val="1"/>
          <w:iCs w:val="1"/>
          <w:spacing w:val="-26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en-US"/>
        </w:rPr>
        <w:t>the</w:t>
      </w:r>
      <w:r>
        <w:rPr>
          <w:rFonts w:ascii="Times New Roman" w:hAnsi="Times New Roman"/>
          <w:i w:val="1"/>
          <w:iCs w:val="1"/>
          <w:spacing w:val="-25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fr-FR"/>
        </w:rPr>
        <w:t>Elimination</w:t>
      </w:r>
      <w:r>
        <w:rPr>
          <w:rFonts w:ascii="Times New Roman" w:hAnsi="Times New Roman"/>
          <w:i w:val="1"/>
          <w:iCs w:val="1"/>
          <w:spacing w:val="-26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en-US"/>
        </w:rPr>
        <w:t>of</w:t>
      </w:r>
      <w:r>
        <w:rPr>
          <w:rFonts w:ascii="Times New Roman" w:hAnsi="Times New Roman"/>
          <w:i w:val="1"/>
          <w:iCs w:val="1"/>
          <w:spacing w:val="-26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de-DE"/>
        </w:rPr>
        <w:t>All</w:t>
      </w:r>
      <w:r>
        <w:rPr>
          <w:rFonts w:ascii="Times New Roman" w:hAnsi="Times New Roman"/>
          <w:i w:val="1"/>
          <w:iCs w:val="1"/>
          <w:spacing w:val="-26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en-US"/>
        </w:rPr>
        <w:t>Forms</w:t>
      </w:r>
      <w:r>
        <w:rPr>
          <w:rFonts w:ascii="Times New Roman" w:hAnsi="Times New Roman"/>
          <w:i w:val="1"/>
          <w:iCs w:val="1"/>
          <w:spacing w:val="-25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en-US"/>
        </w:rPr>
        <w:t>of</w:t>
      </w:r>
      <w:r>
        <w:rPr>
          <w:rFonts w:ascii="Times New Roman" w:hAnsi="Times New Roman"/>
          <w:i w:val="1"/>
          <w:iCs w:val="1"/>
          <w:spacing w:val="-28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fr-FR"/>
        </w:rPr>
        <w:t>Discrimination</w:t>
      </w:r>
      <w:r>
        <w:rPr>
          <w:rFonts w:ascii="Times New Roman" w:hAnsi="Times New Roman"/>
          <w:i w:val="1"/>
          <w:iCs w:val="1"/>
          <w:spacing w:val="-26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en-US"/>
        </w:rPr>
        <w:t>against</w:t>
      </w:r>
      <w:r>
        <w:rPr>
          <w:rFonts w:ascii="Times New Roman" w:hAnsi="Times New Roman"/>
          <w:i w:val="1"/>
          <w:iCs w:val="1"/>
          <w:spacing w:val="-26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en-US"/>
        </w:rPr>
        <w:t>Women,</w:t>
      </w:r>
      <w:r>
        <w:rPr>
          <w:rFonts w:ascii="Times New Roman" w:hAnsi="Times New Roman"/>
          <w:i w:val="1"/>
          <w:iCs w:val="1"/>
          <w:spacing w:val="-26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en-US"/>
        </w:rPr>
        <w:t>mainly</w:t>
      </w:r>
      <w:r>
        <w:rPr>
          <w:rFonts w:ascii="Times New Roman" w:hAnsi="Times New Roman"/>
          <w:i w:val="1"/>
          <w:iCs w:val="1"/>
          <w:spacing w:val="-25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en-US"/>
        </w:rPr>
        <w:t>articles</w:t>
      </w:r>
      <w:r>
        <w:rPr>
          <w:rFonts w:ascii="Times New Roman" w:hAnsi="Times New Roman"/>
          <w:i w:val="1"/>
          <w:iCs w:val="1"/>
          <w:spacing w:val="-26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en-US"/>
        </w:rPr>
        <w:t>3 and 4 and paragraph (a) of Article</w:t>
      </w:r>
      <w:r>
        <w:rPr>
          <w:rFonts w:ascii="Times New Roman" w:hAnsi="Times New Roman"/>
          <w:i w:val="1"/>
          <w:iCs w:val="1"/>
          <w:spacing w:val="20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7;</w:t>
      </w:r>
    </w:p>
    <w:p>
      <w:pPr>
        <w:pStyle w:val="Body A"/>
        <w:widowControl w:val="0"/>
        <w:spacing w:before="168"/>
        <w:ind w:left="822" w:firstLine="0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</w:rPr>
      </w:pP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en-US"/>
        </w:rPr>
        <w:t>The Convention on the Rights of Persons with Disabilities, mainly Articles 5, 9, 21 and 29;</w:t>
      </w:r>
    </w:p>
    <w:p>
      <w:pPr>
        <w:pStyle w:val="Body A"/>
        <w:widowControl w:val="0"/>
        <w:spacing w:before="161" w:line="384" w:lineRule="auto"/>
        <w:ind w:left="822" w:right="551" w:firstLine="0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</w:rPr>
      </w:pP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en-US"/>
        </w:rPr>
        <w:t>The</w:t>
      </w:r>
      <w:r>
        <w:rPr>
          <w:rFonts w:ascii="Times New Roman" w:hAnsi="Times New Roman"/>
          <w:i w:val="1"/>
          <w:iCs w:val="1"/>
          <w:spacing w:val="-11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fr-FR"/>
        </w:rPr>
        <w:t>Convention</w:t>
      </w:r>
      <w:r>
        <w:rPr>
          <w:rFonts w:ascii="Times New Roman" w:hAnsi="Times New Roman"/>
          <w:i w:val="1"/>
          <w:iCs w:val="1"/>
          <w:spacing w:val="-13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en-US"/>
        </w:rPr>
        <w:t>against</w:t>
      </w:r>
      <w:r>
        <w:rPr>
          <w:rFonts w:ascii="Times New Roman" w:hAnsi="Times New Roman"/>
          <w:i w:val="1"/>
          <w:iCs w:val="1"/>
          <w:spacing w:val="-11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de-DE"/>
        </w:rPr>
        <w:t>All</w:t>
      </w:r>
      <w:r>
        <w:rPr>
          <w:rFonts w:ascii="Times New Roman" w:hAnsi="Times New Roman"/>
          <w:i w:val="1"/>
          <w:iCs w:val="1"/>
          <w:spacing w:val="-15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en-US"/>
        </w:rPr>
        <w:t>Forms</w:t>
      </w:r>
      <w:r>
        <w:rPr>
          <w:rFonts w:ascii="Times New Roman" w:hAnsi="Times New Roman"/>
          <w:i w:val="1"/>
          <w:iCs w:val="1"/>
          <w:spacing w:val="-13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en-US"/>
        </w:rPr>
        <w:t>of</w:t>
      </w:r>
      <w:r>
        <w:rPr>
          <w:rFonts w:ascii="Times New Roman" w:hAnsi="Times New Roman"/>
          <w:i w:val="1"/>
          <w:iCs w:val="1"/>
          <w:spacing w:val="-15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es-ES_tradnl"/>
        </w:rPr>
        <w:t>Racial</w:t>
      </w:r>
      <w:r>
        <w:rPr>
          <w:rFonts w:ascii="Times New Roman" w:hAnsi="Times New Roman"/>
          <w:i w:val="1"/>
          <w:iCs w:val="1"/>
          <w:spacing w:val="-12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fr-FR"/>
        </w:rPr>
        <w:t>Discrimination,</w:t>
      </w:r>
      <w:r>
        <w:rPr>
          <w:rFonts w:ascii="Times New Roman" w:hAnsi="Times New Roman"/>
          <w:i w:val="1"/>
          <w:iCs w:val="1"/>
          <w:spacing w:val="-9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en-US"/>
        </w:rPr>
        <w:t>mainly</w:t>
      </w:r>
      <w:r>
        <w:rPr>
          <w:rFonts w:ascii="Times New Roman" w:hAnsi="Times New Roman"/>
          <w:i w:val="1"/>
          <w:iCs w:val="1"/>
          <w:spacing w:val="-11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fr-FR"/>
        </w:rPr>
        <w:t>paragraph</w:t>
      </w:r>
      <w:r>
        <w:rPr>
          <w:rFonts w:ascii="Times New Roman" w:hAnsi="Times New Roman"/>
          <w:i w:val="1"/>
          <w:iCs w:val="1"/>
          <w:spacing w:val="-11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(c)</w:t>
      </w:r>
      <w:r>
        <w:rPr>
          <w:rFonts w:ascii="Times New Roman" w:hAnsi="Times New Roman"/>
          <w:i w:val="1"/>
          <w:iCs w:val="1"/>
          <w:spacing w:val="-14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en-US"/>
        </w:rPr>
        <w:t>of</w:t>
      </w:r>
      <w:r>
        <w:rPr>
          <w:rFonts w:ascii="Times New Roman" w:hAnsi="Times New Roman"/>
          <w:i w:val="1"/>
          <w:iCs w:val="1"/>
          <w:spacing w:val="-15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en-US"/>
        </w:rPr>
        <w:t>Article</w:t>
      </w:r>
      <w:r>
        <w:rPr>
          <w:rFonts w:ascii="Times New Roman" w:hAnsi="Times New Roman"/>
          <w:i w:val="1"/>
          <w:iCs w:val="1"/>
          <w:spacing w:val="-14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en-US"/>
        </w:rPr>
        <w:t>5; The</w:t>
      </w:r>
      <w:r>
        <w:rPr>
          <w:rFonts w:ascii="Times New Roman" w:hAnsi="Times New Roman"/>
          <w:i w:val="1"/>
          <w:iCs w:val="1"/>
          <w:spacing w:val="-8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en-US"/>
        </w:rPr>
        <w:t>United</w:t>
      </w:r>
      <w:r>
        <w:rPr>
          <w:rFonts w:ascii="Times New Roman" w:hAnsi="Times New Roman"/>
          <w:i w:val="1"/>
          <w:iCs w:val="1"/>
          <w:spacing w:val="-11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fr-FR"/>
        </w:rPr>
        <w:t>Nations</w:t>
      </w:r>
      <w:r>
        <w:rPr>
          <w:rFonts w:ascii="Times New Roman" w:hAnsi="Times New Roman"/>
          <w:i w:val="1"/>
          <w:iCs w:val="1"/>
          <w:spacing w:val="-12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fr-FR"/>
        </w:rPr>
        <w:t>Convention</w:t>
      </w:r>
      <w:r>
        <w:rPr>
          <w:rFonts w:ascii="Times New Roman" w:hAnsi="Times New Roman"/>
          <w:i w:val="1"/>
          <w:iCs w:val="1"/>
          <w:spacing w:val="-10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en-US"/>
        </w:rPr>
        <w:t>against</w:t>
      </w:r>
      <w:r>
        <w:rPr>
          <w:rFonts w:ascii="Times New Roman" w:hAnsi="Times New Roman"/>
          <w:i w:val="1"/>
          <w:iCs w:val="1"/>
          <w:spacing w:val="-8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fr-FR"/>
        </w:rPr>
        <w:t>Corruption,</w:t>
      </w:r>
      <w:r>
        <w:rPr>
          <w:rFonts w:ascii="Times New Roman" w:hAnsi="Times New Roman"/>
          <w:i w:val="1"/>
          <w:iCs w:val="1"/>
          <w:spacing w:val="-10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en-US"/>
        </w:rPr>
        <w:t>mainly</w:t>
      </w:r>
      <w:r>
        <w:rPr>
          <w:rFonts w:ascii="Times New Roman" w:hAnsi="Times New Roman"/>
          <w:i w:val="1"/>
          <w:iCs w:val="1"/>
          <w:spacing w:val="-8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en-US"/>
        </w:rPr>
        <w:t>articles</w:t>
      </w:r>
      <w:r>
        <w:rPr>
          <w:rFonts w:ascii="Times New Roman" w:hAnsi="Times New Roman"/>
          <w:i w:val="1"/>
          <w:iCs w:val="1"/>
          <w:spacing w:val="-12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5</w:t>
      </w:r>
      <w:r>
        <w:rPr>
          <w:rFonts w:ascii="Times New Roman" w:hAnsi="Times New Roman"/>
          <w:i w:val="1"/>
          <w:iCs w:val="1"/>
          <w:spacing w:val="-11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and</w:t>
      </w:r>
      <w:r>
        <w:rPr>
          <w:rFonts w:ascii="Times New Roman" w:hAnsi="Times New Roman"/>
          <w:i w:val="1"/>
          <w:iCs w:val="1"/>
          <w:spacing w:val="-10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13;</w:t>
      </w:r>
    </w:p>
    <w:p>
      <w:pPr>
        <w:pStyle w:val="Body A"/>
        <w:widowControl w:val="0"/>
        <w:spacing w:before="1"/>
        <w:ind w:left="822" w:firstLine="0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</w:rPr>
      </w:pP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en-US"/>
        </w:rPr>
        <w:t>The Constitution, mainly Article 11;</w:t>
      </w:r>
    </w:p>
    <w:p>
      <w:pPr>
        <w:pStyle w:val="Body A"/>
        <w:widowControl w:val="0"/>
        <w:spacing w:before="167" w:line="232" w:lineRule="auto"/>
        <w:ind w:left="822" w:right="113" w:firstLine="0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</w:rPr>
      </w:pP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en-US"/>
        </w:rPr>
        <w:t>The New Law # 76-15 relating to the National Human Rights Council reorganization promulgated by the Royal</w:t>
      </w:r>
      <w:r>
        <w:rPr>
          <w:rFonts w:ascii="Times New Roman" w:hAnsi="Times New Roman"/>
          <w:i w:val="1"/>
          <w:iCs w:val="1"/>
          <w:spacing w:val="-18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en-US"/>
        </w:rPr>
        <w:t>Decree</w:t>
      </w:r>
      <w:r>
        <w:rPr>
          <w:rFonts w:ascii="Times New Roman" w:hAnsi="Times New Roman"/>
          <w:i w:val="1"/>
          <w:iCs w:val="1"/>
          <w:spacing w:val="-19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(Dahir)</w:t>
      </w:r>
      <w:r>
        <w:rPr>
          <w:rFonts w:ascii="Times New Roman" w:hAnsi="Times New Roman"/>
          <w:i w:val="1"/>
          <w:iCs w:val="1"/>
          <w:spacing w:val="-17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#</w:t>
      </w:r>
      <w:r>
        <w:rPr>
          <w:rFonts w:ascii="Times New Roman" w:hAnsi="Times New Roman"/>
          <w:i w:val="1"/>
          <w:iCs w:val="1"/>
          <w:spacing w:val="-24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1-18-17</w:t>
      </w:r>
      <w:r>
        <w:rPr>
          <w:rFonts w:ascii="Times New Roman" w:hAnsi="Times New Roman"/>
          <w:i w:val="1"/>
          <w:iCs w:val="1"/>
          <w:spacing w:val="-19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en-US"/>
        </w:rPr>
        <w:t>dated</w:t>
      </w:r>
      <w:r>
        <w:rPr>
          <w:rFonts w:ascii="Times New Roman" w:hAnsi="Times New Roman"/>
          <w:i w:val="1"/>
          <w:iCs w:val="1"/>
          <w:spacing w:val="-18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5</w:t>
      </w:r>
      <w:r>
        <w:rPr>
          <w:rFonts w:ascii="Times New Roman" w:hAnsi="Times New Roman"/>
          <w:i w:val="1"/>
          <w:iCs w:val="1"/>
          <w:spacing w:val="-18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pt-PT"/>
        </w:rPr>
        <w:t>Joumada II</w:t>
      </w:r>
      <w:r>
        <w:rPr>
          <w:rFonts w:ascii="Times New Roman" w:hAnsi="Times New Roman"/>
          <w:i w:val="1"/>
          <w:iCs w:val="1"/>
          <w:spacing w:val="-19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1439</w:t>
      </w:r>
      <w:r>
        <w:rPr>
          <w:rFonts w:ascii="Times New Roman" w:hAnsi="Times New Roman"/>
          <w:i w:val="1"/>
          <w:iCs w:val="1"/>
          <w:spacing w:val="-17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A.H.</w:t>
      </w:r>
      <w:r>
        <w:rPr>
          <w:rFonts w:ascii="Times New Roman" w:hAnsi="Times New Roman"/>
          <w:i w:val="1"/>
          <w:iCs w:val="1"/>
          <w:spacing w:val="-17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en-US"/>
        </w:rPr>
        <w:t>(22nd</w:t>
      </w:r>
      <w:r>
        <w:rPr>
          <w:rFonts w:ascii="Times New Roman" w:hAnsi="Times New Roman"/>
          <w:i w:val="1"/>
          <w:iCs w:val="1"/>
          <w:spacing w:val="-17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en-US"/>
        </w:rPr>
        <w:t>February</w:t>
      </w:r>
      <w:r>
        <w:rPr>
          <w:rFonts w:ascii="Times New Roman" w:hAnsi="Times New Roman"/>
          <w:i w:val="1"/>
          <w:iCs w:val="1"/>
          <w:spacing w:val="-17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spacing w:val="-3"/>
          <w:sz w:val="24"/>
          <w:szCs w:val="24"/>
          <w:u w:color="000000"/>
          <w:rtl w:val="0"/>
        </w:rPr>
        <w:t>2018)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,</w:t>
      </w:r>
      <w:r>
        <w:rPr>
          <w:rFonts w:ascii="Times New Roman" w:hAnsi="Times New Roman"/>
          <w:i w:val="1"/>
          <w:iCs w:val="1"/>
          <w:spacing w:val="-13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en-US"/>
        </w:rPr>
        <w:t>mainly</w:t>
      </w:r>
      <w:r>
        <w:rPr>
          <w:rFonts w:ascii="Times New Roman" w:hAnsi="Times New Roman"/>
          <w:i w:val="1"/>
          <w:iCs w:val="1"/>
          <w:spacing w:val="-11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en-US"/>
        </w:rPr>
        <w:t>Article</w:t>
      </w:r>
      <w:r>
        <w:rPr>
          <w:rFonts w:ascii="Times New Roman" w:hAnsi="Times New Roman"/>
          <w:i w:val="1"/>
          <w:iCs w:val="1"/>
          <w:spacing w:val="-12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33;</w:t>
      </w:r>
    </w:p>
    <w:p>
      <w:pPr>
        <w:pStyle w:val="Body A"/>
        <w:widowControl w:val="0"/>
        <w:spacing w:before="169"/>
        <w:ind w:left="822" w:firstLine="0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</w:rPr>
      </w:pP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en-US"/>
        </w:rPr>
        <w:t>Law</w:t>
      </w:r>
      <w:r>
        <w:rPr>
          <w:rFonts w:ascii="Times New Roman" w:hAnsi="Times New Roman"/>
          <w:i w:val="1"/>
          <w:iCs w:val="1"/>
          <w:spacing w:val="-12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#</w:t>
      </w:r>
      <w:r>
        <w:rPr>
          <w:rFonts w:ascii="Times New Roman" w:hAnsi="Times New Roman"/>
          <w:i w:val="1"/>
          <w:iCs w:val="1"/>
          <w:spacing w:val="-14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30-11</w:t>
      </w:r>
      <w:r>
        <w:rPr>
          <w:rFonts w:ascii="Times New Roman" w:hAnsi="Times New Roman"/>
          <w:i w:val="1"/>
          <w:iCs w:val="1"/>
          <w:spacing w:val="-14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en-US"/>
        </w:rPr>
        <w:t>setting</w:t>
      </w:r>
      <w:r>
        <w:rPr>
          <w:rFonts w:ascii="Times New Roman" w:hAnsi="Times New Roman"/>
          <w:i w:val="1"/>
          <w:iCs w:val="1"/>
          <w:spacing w:val="-14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en-US"/>
        </w:rPr>
        <w:t>out</w:t>
      </w:r>
      <w:r>
        <w:rPr>
          <w:rFonts w:ascii="Times New Roman" w:hAnsi="Times New Roman"/>
          <w:i w:val="1"/>
          <w:iCs w:val="1"/>
          <w:spacing w:val="-15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en-US"/>
        </w:rPr>
        <w:t>the</w:t>
      </w:r>
      <w:r>
        <w:rPr>
          <w:rFonts w:ascii="Times New Roman" w:hAnsi="Times New Roman"/>
          <w:i w:val="1"/>
          <w:iCs w:val="1"/>
          <w:spacing w:val="-14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en-US"/>
        </w:rPr>
        <w:t>terms</w:t>
      </w:r>
      <w:r>
        <w:rPr>
          <w:rFonts w:ascii="Times New Roman" w:hAnsi="Times New Roman"/>
          <w:i w:val="1"/>
          <w:iCs w:val="1"/>
          <w:spacing w:val="-12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and</w:t>
      </w:r>
      <w:r>
        <w:rPr>
          <w:rFonts w:ascii="Times New Roman" w:hAnsi="Times New Roman"/>
          <w:i w:val="1"/>
          <w:iCs w:val="1"/>
          <w:spacing w:val="-14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fr-FR"/>
        </w:rPr>
        <w:t>conditions</w:t>
      </w:r>
      <w:r>
        <w:rPr>
          <w:rFonts w:ascii="Times New Roman" w:hAnsi="Times New Roman"/>
          <w:i w:val="1"/>
          <w:iCs w:val="1"/>
          <w:spacing w:val="-12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en-US"/>
        </w:rPr>
        <w:t>of</w:t>
      </w:r>
      <w:r>
        <w:rPr>
          <w:rFonts w:ascii="Times New Roman" w:hAnsi="Times New Roman"/>
          <w:i w:val="1"/>
          <w:iCs w:val="1"/>
          <w:spacing w:val="-16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en-US"/>
        </w:rPr>
        <w:t>the</w:t>
      </w:r>
      <w:r>
        <w:rPr>
          <w:rFonts w:ascii="Times New Roman" w:hAnsi="Times New Roman"/>
          <w:i w:val="1"/>
          <w:iCs w:val="1"/>
          <w:spacing w:val="-14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es-ES_tradnl"/>
        </w:rPr>
        <w:t>independent</w:t>
      </w:r>
      <w:r>
        <w:rPr>
          <w:rFonts w:ascii="Times New Roman" w:hAnsi="Times New Roman"/>
          <w:i w:val="1"/>
          <w:iCs w:val="1"/>
          <w:spacing w:val="-12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and</w:t>
      </w:r>
      <w:r>
        <w:rPr>
          <w:rFonts w:ascii="Times New Roman" w:hAnsi="Times New Roman"/>
          <w:i w:val="1"/>
          <w:iCs w:val="1"/>
          <w:spacing w:val="-14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es-ES_tradnl"/>
        </w:rPr>
        <w:t>impartial</w:t>
      </w:r>
      <w:r>
        <w:rPr>
          <w:rFonts w:ascii="Times New Roman" w:hAnsi="Times New Roman"/>
          <w:i w:val="1"/>
          <w:iCs w:val="1"/>
          <w:spacing w:val="-13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fr-FR"/>
        </w:rPr>
        <w:t>election</w:t>
      </w:r>
      <w:r>
        <w:rPr>
          <w:rFonts w:ascii="Times New Roman" w:hAnsi="Times New Roman"/>
          <w:i w:val="1"/>
          <w:iCs w:val="1"/>
          <w:spacing w:val="-14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en-US"/>
        </w:rPr>
        <w:t>observation, mainly Chapter IV on rights and obligations of observers;</w:t>
      </w:r>
    </w:p>
    <w:p>
      <w:pPr>
        <w:pStyle w:val="Body A"/>
        <w:widowControl w:val="0"/>
        <w:spacing w:before="172" w:line="232" w:lineRule="auto"/>
        <w:ind w:left="822" w:right="108" w:firstLine="0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</w:rPr>
      </w:pP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en-US"/>
        </w:rPr>
        <w:t>The</w:t>
      </w:r>
      <w:r>
        <w:rPr>
          <w:rFonts w:ascii="Times New Roman" w:hAnsi="Times New Roman"/>
          <w:i w:val="1"/>
          <w:iCs w:val="1"/>
          <w:spacing w:val="-11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Declaration</w:t>
      </w:r>
      <w:r>
        <w:rPr>
          <w:rFonts w:ascii="Times New Roman" w:hAnsi="Times New Roman"/>
          <w:i w:val="1"/>
          <w:iCs w:val="1"/>
          <w:spacing w:val="-11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en-US"/>
        </w:rPr>
        <w:t>of</w:t>
      </w:r>
      <w:r>
        <w:rPr>
          <w:rFonts w:ascii="Times New Roman" w:hAnsi="Times New Roman"/>
          <w:i w:val="1"/>
          <w:iCs w:val="1"/>
          <w:spacing w:val="-13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fr-FR"/>
        </w:rPr>
        <w:t>Principles</w:t>
      </w:r>
      <w:r>
        <w:rPr>
          <w:rFonts w:ascii="Times New Roman" w:hAnsi="Times New Roman"/>
          <w:i w:val="1"/>
          <w:iCs w:val="1"/>
          <w:spacing w:val="-11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en-US"/>
        </w:rPr>
        <w:t>for</w:t>
      </w:r>
      <w:r>
        <w:rPr>
          <w:rFonts w:ascii="Times New Roman" w:hAnsi="Times New Roman"/>
          <w:i w:val="1"/>
          <w:iCs w:val="1"/>
          <w:spacing w:val="-11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fr-FR"/>
        </w:rPr>
        <w:t>International</w:t>
      </w:r>
      <w:r>
        <w:rPr>
          <w:rFonts w:ascii="Times New Roman" w:hAnsi="Times New Roman"/>
          <w:i w:val="1"/>
          <w:iCs w:val="1"/>
          <w:spacing w:val="-11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fr-FR"/>
        </w:rPr>
        <w:t>Election</w:t>
      </w:r>
      <w:r>
        <w:rPr>
          <w:rFonts w:ascii="Times New Roman" w:hAnsi="Times New Roman"/>
          <w:i w:val="1"/>
          <w:iCs w:val="1"/>
          <w:spacing w:val="-12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fr-FR"/>
        </w:rPr>
        <w:t>Observation</w:t>
      </w:r>
      <w:r>
        <w:rPr>
          <w:rFonts w:ascii="Times New Roman" w:hAnsi="Times New Roman"/>
          <w:i w:val="1"/>
          <w:iCs w:val="1"/>
          <w:spacing w:val="-12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spacing w:val="2"/>
          <w:sz w:val="24"/>
          <w:szCs w:val="24"/>
          <w:u w:color="000000"/>
          <w:rtl w:val="0"/>
        </w:rPr>
        <w:t>and</w:t>
      </w:r>
      <w:r>
        <w:rPr>
          <w:rFonts w:ascii="Times New Roman" w:hAnsi="Times New Roman"/>
          <w:i w:val="1"/>
          <w:iCs w:val="1"/>
          <w:spacing w:val="-11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Code</w:t>
      </w:r>
      <w:r>
        <w:rPr>
          <w:rFonts w:ascii="Times New Roman" w:hAnsi="Times New Roman"/>
          <w:i w:val="1"/>
          <w:iCs w:val="1"/>
          <w:spacing w:val="-13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en-US"/>
        </w:rPr>
        <w:t>of</w:t>
      </w:r>
      <w:r>
        <w:rPr>
          <w:rFonts w:ascii="Times New Roman" w:hAnsi="Times New Roman"/>
          <w:i w:val="1"/>
          <w:iCs w:val="1"/>
          <w:spacing w:val="-11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es-ES_tradnl"/>
        </w:rPr>
        <w:t>Conduct</w:t>
      </w:r>
      <w:r>
        <w:rPr>
          <w:rFonts w:ascii="Times New Roman" w:hAnsi="Times New Roman"/>
          <w:i w:val="1"/>
          <w:iCs w:val="1"/>
          <w:spacing w:val="-10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en-US"/>
        </w:rPr>
        <w:t>for International Election Observers, released by the United Nations Electoral Assistance Division on 27 October</w:t>
      </w:r>
      <w:r>
        <w:rPr>
          <w:rFonts w:ascii="Times New Roman" w:hAnsi="Times New Roman"/>
          <w:i w:val="1"/>
          <w:iCs w:val="1"/>
          <w:spacing w:val="6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spacing w:val="-3"/>
          <w:sz w:val="24"/>
          <w:szCs w:val="24"/>
          <w:u w:color="000000"/>
          <w:rtl w:val="0"/>
        </w:rPr>
        <w:t>2005;</w:t>
      </w:r>
    </w:p>
    <w:p>
      <w:pPr>
        <w:pStyle w:val="Body A"/>
        <w:widowControl w:val="0"/>
        <w:spacing w:before="177" w:line="232" w:lineRule="auto"/>
        <w:ind w:left="822" w:right="126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en-US"/>
        </w:rPr>
        <w:t>The</w:t>
      </w:r>
      <w:r>
        <w:rPr>
          <w:rFonts w:ascii="Times New Roman" w:hAnsi="Times New Roman"/>
          <w:i w:val="1"/>
          <w:iCs w:val="1"/>
          <w:spacing w:val="-6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Declaration</w:t>
      </w:r>
      <w:r>
        <w:rPr>
          <w:rFonts w:ascii="Times New Roman" w:hAnsi="Times New Roman"/>
          <w:i w:val="1"/>
          <w:iCs w:val="1"/>
          <w:spacing w:val="-8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en-US"/>
        </w:rPr>
        <w:t>of</w:t>
      </w:r>
      <w:r>
        <w:rPr>
          <w:rFonts w:ascii="Times New Roman" w:hAnsi="Times New Roman"/>
          <w:i w:val="1"/>
          <w:iCs w:val="1"/>
          <w:spacing w:val="-7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Global</w:t>
      </w:r>
      <w:r>
        <w:rPr>
          <w:rFonts w:ascii="Times New Roman" w:hAnsi="Times New Roman"/>
          <w:i w:val="1"/>
          <w:iCs w:val="1"/>
          <w:spacing w:val="-7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fr-FR"/>
        </w:rPr>
        <w:t>Principles</w:t>
      </w:r>
      <w:r>
        <w:rPr>
          <w:rFonts w:ascii="Times New Roman" w:hAnsi="Times New Roman"/>
          <w:i w:val="1"/>
          <w:iCs w:val="1"/>
          <w:spacing w:val="-6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en-US"/>
        </w:rPr>
        <w:t>for</w:t>
      </w:r>
      <w:r>
        <w:rPr>
          <w:rFonts w:ascii="Times New Roman" w:hAnsi="Times New Roman"/>
          <w:i w:val="1"/>
          <w:iCs w:val="1"/>
          <w:spacing w:val="-8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Nonpartisan</w:t>
      </w:r>
      <w:r>
        <w:rPr>
          <w:rFonts w:ascii="Times New Roman" w:hAnsi="Times New Roman"/>
          <w:i w:val="1"/>
          <w:iCs w:val="1"/>
          <w:spacing w:val="-8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fr-FR"/>
        </w:rPr>
        <w:t>Election</w:t>
      </w:r>
      <w:r>
        <w:rPr>
          <w:rFonts w:ascii="Times New Roman" w:hAnsi="Times New Roman"/>
          <w:i w:val="1"/>
          <w:iCs w:val="1"/>
          <w:spacing w:val="-8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fr-FR"/>
        </w:rPr>
        <w:t>Observation</w:t>
      </w:r>
      <w:r>
        <w:rPr>
          <w:rFonts w:ascii="Times New Roman" w:hAnsi="Times New Roman"/>
          <w:i w:val="1"/>
          <w:iCs w:val="1"/>
          <w:spacing w:val="-8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and</w:t>
      </w:r>
      <w:r>
        <w:rPr>
          <w:rFonts w:ascii="Times New Roman" w:hAnsi="Times New Roman"/>
          <w:i w:val="1"/>
          <w:iCs w:val="1"/>
          <w:spacing w:val="-8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Monitoring</w:t>
      </w:r>
      <w:r>
        <w:rPr>
          <w:rFonts w:ascii="Times New Roman" w:hAnsi="Times New Roman"/>
          <w:i w:val="1"/>
          <w:iCs w:val="1"/>
          <w:spacing w:val="-8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by</w:t>
      </w:r>
      <w:r>
        <w:rPr>
          <w:rFonts w:ascii="Times New Roman" w:hAnsi="Times New Roman"/>
          <w:i w:val="1"/>
          <w:iCs w:val="1"/>
          <w:spacing w:val="-6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en-US"/>
        </w:rPr>
        <w:t>Citizen Organizations initiated by the Global Network of Domestic Election Monitors and commemorated on 3 April 2012</w:t>
      </w:r>
      <w:r>
        <w:rPr>
          <w:rFonts w:ascii="Times New Roman" w:hAnsi="Times New Roman"/>
          <w:sz w:val="24"/>
          <w:szCs w:val="24"/>
          <w:u w:color="000000"/>
          <w:rtl w:val="0"/>
        </w:rPr>
        <w:t>;</w:t>
      </w:r>
    </w:p>
    <w:p>
      <w:pPr>
        <w:pStyle w:val="Default"/>
        <w:widowControl w:val="0"/>
        <w:spacing w:before="5"/>
        <w:jc w:val="both"/>
        <w:rPr>
          <w:rFonts w:ascii="Times New Roman" w:cs="Times New Roman" w:hAnsi="Times New Roman" w:eastAsia="Times New Roman"/>
          <w:sz w:val="38"/>
          <w:szCs w:val="38"/>
          <w:u w:color="000000"/>
          <w:lang w:val="en-US"/>
        </w:rPr>
      </w:pPr>
    </w:p>
    <w:p>
      <w:pPr>
        <w:pStyle w:val="Default"/>
        <w:widowControl w:val="0"/>
        <w:spacing w:before="1" w:line="235" w:lineRule="auto"/>
        <w:ind w:left="116" w:right="108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The Special Commission for the Accreditation of Election Observers drafted this Charter that includes</w:t>
      </w:r>
      <w:r>
        <w:rPr>
          <w:rFonts w:ascii="Times New Roman" w:hAnsi="Times New Roman"/>
          <w:spacing w:val="-23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the</w:t>
      </w:r>
      <w:r>
        <w:rPr>
          <w:rFonts w:ascii="Times New Roman" w:hAnsi="Times New Roman"/>
          <w:spacing w:val="-21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core</w:t>
      </w:r>
      <w:r>
        <w:rPr>
          <w:rFonts w:ascii="Times New Roman" w:hAnsi="Times New Roman"/>
          <w:spacing w:val="-21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principles</w:t>
      </w:r>
      <w:r>
        <w:rPr>
          <w:rFonts w:ascii="Times New Roman" w:hAnsi="Times New Roman"/>
          <w:spacing w:val="-22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and</w:t>
      </w:r>
      <w:r>
        <w:rPr>
          <w:rFonts w:ascii="Times New Roman" w:hAnsi="Times New Roman"/>
          <w:spacing w:val="-22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rules</w:t>
      </w:r>
      <w:r>
        <w:rPr>
          <w:rFonts w:ascii="Times New Roman" w:hAnsi="Times New Roman"/>
          <w:spacing w:val="-22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with</w:t>
      </w:r>
      <w:r>
        <w:rPr>
          <w:rFonts w:ascii="Times New Roman" w:hAnsi="Times New Roman"/>
          <w:spacing w:val="-20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which</w:t>
      </w:r>
      <w:r>
        <w:rPr>
          <w:rFonts w:ascii="Times New Roman" w:hAnsi="Times New Roman"/>
          <w:spacing w:val="-20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the</w:t>
      </w:r>
      <w:r>
        <w:rPr>
          <w:rFonts w:ascii="Times New Roman" w:hAnsi="Times New Roman"/>
          <w:spacing w:val="-24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accredit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ation</w:t>
      </w:r>
      <w:r>
        <w:rPr>
          <w:rFonts w:ascii="Times New Roman" w:hAnsi="Times New Roman"/>
          <w:spacing w:val="-16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bodies</w:t>
      </w:r>
      <w:r>
        <w:rPr>
          <w:rFonts w:ascii="Times New Roman" w:hAnsi="Times New Roman"/>
          <w:spacing w:val="-22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and</w:t>
      </w:r>
      <w:r>
        <w:rPr>
          <w:rFonts w:ascii="Times New Roman" w:hAnsi="Times New Roman"/>
          <w:spacing w:val="-22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their</w:t>
      </w:r>
      <w:r>
        <w:rPr>
          <w:rFonts w:ascii="Times New Roman" w:hAnsi="Times New Roman"/>
          <w:spacing w:val="-21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observers must</w:t>
      </w:r>
      <w:r>
        <w:rPr>
          <w:rFonts w:ascii="Times New Roman" w:hAnsi="Times New Roman"/>
          <w:spacing w:val="2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comply.</w:t>
      </w:r>
    </w:p>
    <w:p>
      <w:pPr>
        <w:pStyle w:val="Default"/>
        <w:widowControl w:val="0"/>
        <w:jc w:val="both"/>
        <w:rPr>
          <w:rFonts w:ascii="Times New Roman" w:cs="Times New Roman" w:hAnsi="Times New Roman" w:eastAsia="Times New Roman"/>
          <w:sz w:val="23"/>
          <w:szCs w:val="23"/>
          <w:u w:color="000000"/>
          <w:lang w:val="en-US"/>
        </w:rPr>
      </w:pPr>
    </w:p>
    <w:p>
      <w:pPr>
        <w:pStyle w:val="Default"/>
        <w:widowControl w:val="0"/>
        <w:numPr>
          <w:ilvl w:val="0"/>
          <w:numId w:val="2"/>
        </w:numPr>
        <w:bidi w:val="0"/>
        <w:ind w:right="0"/>
        <w:jc w:val="both"/>
        <w:outlineLvl w:val="0"/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Joint commitments of the accredited bodies and their</w:t>
      </w:r>
      <w:r>
        <w:rPr>
          <w:rFonts w:ascii="Times New Roman" w:hAnsi="Times New Roman"/>
          <w:b w:val="1"/>
          <w:bCs w:val="1"/>
          <w:spacing w:val="-31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observers</w:t>
      </w:r>
    </w:p>
    <w:p>
      <w:pPr>
        <w:pStyle w:val="Default"/>
        <w:widowControl w:val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lang w:val="en-US"/>
        </w:rPr>
      </w:pPr>
    </w:p>
    <w:p>
      <w:pPr>
        <w:pStyle w:val="Body"/>
        <w:widowControl w:val="0"/>
        <w:numPr>
          <w:ilvl w:val="1"/>
          <w:numId w:val="4"/>
        </w:numPr>
        <w:bidi w:val="0"/>
        <w:ind w:right="0"/>
        <w:jc w:val="both"/>
        <w:rPr>
          <w:rtl w:val="0"/>
          <w:lang w:val="en-US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Act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in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accordance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with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the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international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human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rights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standards;</w:t>
      </w:r>
    </w:p>
    <w:p>
      <w:pPr>
        <w:pStyle w:val="Body"/>
        <w:widowControl w:val="0"/>
        <w:numPr>
          <w:ilvl w:val="1"/>
          <w:numId w:val="4"/>
        </w:numPr>
        <w:bidi w:val="0"/>
        <w:spacing w:before="2"/>
        <w:ind w:right="0"/>
        <w:jc w:val="both"/>
        <w:rPr>
          <w:rtl w:val="0"/>
          <w:lang w:val="en-US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Respect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the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sovereignty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the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Moroccan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State,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its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institutions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and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its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powers;</w:t>
      </w:r>
    </w:p>
    <w:p>
      <w:pPr>
        <w:pStyle w:val="Body"/>
        <w:widowControl w:val="0"/>
        <w:numPr>
          <w:ilvl w:val="1"/>
          <w:numId w:val="4"/>
        </w:numPr>
        <w:bidi w:val="0"/>
        <w:spacing w:before="3"/>
        <w:ind w:right="0"/>
        <w:jc w:val="both"/>
        <w:rPr>
          <w:rtl w:val="0"/>
          <w:lang w:val="en-US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Respect the laws and regulations in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force;</w:t>
      </w:r>
    </w:p>
    <w:p>
      <w:pPr>
        <w:pStyle w:val="Body"/>
        <w:widowControl w:val="0"/>
        <w:numPr>
          <w:ilvl w:val="1"/>
          <w:numId w:val="4"/>
        </w:numPr>
        <w:bidi w:val="0"/>
        <w:spacing w:before="2"/>
        <w:ind w:right="0"/>
        <w:jc w:val="both"/>
        <w:rPr>
          <w:rtl w:val="0"/>
          <w:lang w:val="en-US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Monitor elections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impartially;</w:t>
      </w:r>
    </w:p>
    <w:p>
      <w:pPr>
        <w:pStyle w:val="Body"/>
        <w:widowControl w:val="0"/>
        <w:numPr>
          <w:ilvl w:val="1"/>
          <w:numId w:val="5"/>
        </w:numPr>
        <w:bidi w:val="0"/>
        <w:spacing w:before="10" w:line="232" w:lineRule="auto"/>
        <w:ind w:right="116"/>
        <w:jc w:val="both"/>
        <w:rPr>
          <w:rtl w:val="0"/>
          <w:lang w:val="en-US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Be objective, professional, and accurate in their observation and ensure the documentation of the electoral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process.</w:t>
      </w:r>
    </w:p>
    <w:p>
      <w:pPr>
        <w:pStyle w:val="Default"/>
        <w:widowControl w:val="0"/>
        <w:spacing w:before="4"/>
        <w:jc w:val="both"/>
        <w:rPr>
          <w:rFonts w:ascii="Times New Roman" w:cs="Times New Roman" w:hAnsi="Times New Roman" w:eastAsia="Times New Roman"/>
          <w:sz w:val="23"/>
          <w:szCs w:val="23"/>
          <w:u w:color="000000"/>
          <w:lang w:val="en-US"/>
        </w:rPr>
      </w:pPr>
    </w:p>
    <w:p>
      <w:pPr>
        <w:pStyle w:val="Default"/>
        <w:widowControl w:val="0"/>
        <w:numPr>
          <w:ilvl w:val="0"/>
          <w:numId w:val="6"/>
        </w:numPr>
        <w:bidi w:val="0"/>
        <w:ind w:right="0"/>
        <w:jc w:val="both"/>
        <w:outlineLvl w:val="0"/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Commitments of the accredited</w:t>
      </w:r>
      <w:r>
        <w:rPr>
          <w:rFonts w:ascii="Times New Roman" w:hAnsi="Times New Roman"/>
          <w:b w:val="1"/>
          <w:bCs w:val="1"/>
          <w:spacing w:val="-1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bodies</w:t>
      </w:r>
    </w:p>
    <w:p>
      <w:pPr>
        <w:pStyle w:val="Default"/>
        <w:widowControl w:val="0"/>
        <w:spacing w:before="7"/>
        <w:jc w:val="both"/>
        <w:rPr>
          <w:rFonts w:ascii="Times New Roman" w:cs="Times New Roman" w:hAnsi="Times New Roman" w:eastAsia="Times New Roman"/>
          <w:b w:val="1"/>
          <w:bCs w:val="1"/>
          <w:sz w:val="23"/>
          <w:szCs w:val="23"/>
          <w:u w:color="000000"/>
          <w:lang w:val="en-US"/>
        </w:rPr>
      </w:pPr>
    </w:p>
    <w:p>
      <w:pPr>
        <w:pStyle w:val="Body"/>
        <w:widowControl w:val="0"/>
        <w:numPr>
          <w:ilvl w:val="1"/>
          <w:numId w:val="4"/>
        </w:numPr>
        <w:bidi w:val="0"/>
        <w:ind w:right="0"/>
        <w:jc w:val="both"/>
        <w:rPr>
          <w:rtl w:val="0"/>
          <w:lang w:val="en-US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Make sure their observers respect and implement the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Charter;</w:t>
      </w:r>
    </w:p>
    <w:p>
      <w:pPr>
        <w:pStyle w:val="Body"/>
        <w:widowControl w:val="0"/>
        <w:numPr>
          <w:ilvl w:val="1"/>
          <w:numId w:val="5"/>
        </w:numPr>
        <w:bidi w:val="0"/>
        <w:spacing w:before="86" w:line="235" w:lineRule="auto"/>
        <w:ind w:right="116"/>
        <w:jc w:val="both"/>
        <w:rPr>
          <w:rtl w:val="0"/>
          <w:lang w:val="en-US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Propose impartial observers who have no conflicting personal interests with the independent observation tasks and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fr-FR"/>
        </w:rPr>
        <w:t xml:space="preserve"> immediately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 inform the accreditation commission of any breach of the impartiality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provisions;</w:t>
      </w:r>
    </w:p>
    <w:p>
      <w:pPr>
        <w:pStyle w:val="Body"/>
        <w:widowControl w:val="0"/>
        <w:numPr>
          <w:ilvl w:val="1"/>
          <w:numId w:val="4"/>
        </w:numPr>
        <w:bidi w:val="0"/>
        <w:spacing w:before="5"/>
        <w:ind w:right="0"/>
        <w:jc w:val="both"/>
        <w:rPr>
          <w:rtl w:val="0"/>
          <w:lang w:val="en-US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Adopt a gender-based approach when selecting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observers and pay special attention to cultural and geographic diversity;</w:t>
      </w:r>
    </w:p>
    <w:p>
      <w:pPr>
        <w:pStyle w:val="Body"/>
        <w:widowControl w:val="0"/>
        <w:numPr>
          <w:ilvl w:val="1"/>
          <w:numId w:val="4"/>
        </w:numPr>
        <w:bidi w:val="0"/>
        <w:spacing w:before="3"/>
        <w:ind w:right="0"/>
        <w:jc w:val="both"/>
        <w:rPr>
          <w:rtl w:val="0"/>
          <w:lang w:val="en-US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Appoint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an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official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spokesperson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for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the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elections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related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communication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tasks;</w:t>
      </w:r>
    </w:p>
    <w:p>
      <w:pPr>
        <w:pStyle w:val="Body"/>
        <w:widowControl w:val="0"/>
        <w:numPr>
          <w:ilvl w:val="1"/>
          <w:numId w:val="4"/>
        </w:numPr>
        <w:bidi w:val="0"/>
        <w:spacing w:before="2"/>
        <w:ind w:right="0"/>
        <w:jc w:val="both"/>
        <w:rPr>
          <w:rtl w:val="0"/>
          <w:lang w:val="en-US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Ensure transparent funding in accordance with the laws in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force;</w:t>
      </w:r>
    </w:p>
    <w:p>
      <w:pPr>
        <w:pStyle w:val="Body"/>
        <w:widowControl w:val="0"/>
        <w:numPr>
          <w:ilvl w:val="1"/>
          <w:numId w:val="5"/>
        </w:numPr>
        <w:bidi w:val="0"/>
        <w:spacing w:before="7" w:line="235" w:lineRule="auto"/>
        <w:ind w:right="109"/>
        <w:jc w:val="both"/>
        <w:rPr>
          <w:rtl w:val="0"/>
          <w:lang w:val="en-US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Draw up reports containing conclusions and recommendations to strengthen the electoral process and hand a copy to the Chair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fr-FR"/>
        </w:rPr>
        <w:t>person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 of the Special Accreditation Commission.</w:t>
      </w:r>
    </w:p>
    <w:p>
      <w:pPr>
        <w:pStyle w:val="Default"/>
        <w:widowControl w:val="0"/>
        <w:jc w:val="both"/>
        <w:rPr>
          <w:rFonts w:ascii="Times New Roman" w:cs="Times New Roman" w:hAnsi="Times New Roman" w:eastAsia="Times New Roman"/>
          <w:sz w:val="23"/>
          <w:szCs w:val="23"/>
          <w:u w:color="000000"/>
          <w:lang w:val="en-US"/>
        </w:rPr>
      </w:pPr>
    </w:p>
    <w:p>
      <w:pPr>
        <w:pStyle w:val="Default"/>
        <w:widowControl w:val="0"/>
        <w:numPr>
          <w:ilvl w:val="0"/>
          <w:numId w:val="7"/>
        </w:numPr>
        <w:bidi w:val="0"/>
        <w:ind w:right="0"/>
        <w:jc w:val="both"/>
        <w:outlineLvl w:val="0"/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Commitments of</w:t>
      </w:r>
      <w:r>
        <w:rPr>
          <w:rFonts w:ascii="Times New Roman" w:hAnsi="Times New Roman"/>
          <w:b w:val="1"/>
          <w:bCs w:val="1"/>
          <w:spacing w:val="3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observers</w:t>
      </w:r>
    </w:p>
    <w:p>
      <w:pPr>
        <w:pStyle w:val="Default"/>
        <w:widowControl w:val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lang w:val="en-US"/>
        </w:rPr>
      </w:pPr>
    </w:p>
    <w:p>
      <w:pPr>
        <w:pStyle w:val="Body"/>
        <w:widowControl w:val="0"/>
        <w:numPr>
          <w:ilvl w:val="1"/>
          <w:numId w:val="4"/>
        </w:numPr>
        <w:bidi w:val="0"/>
        <w:ind w:right="0"/>
        <w:jc w:val="both"/>
        <w:rPr>
          <w:rtl w:val="0"/>
          <w:lang w:val="en-US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Abide by the scope of their election observation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mission;</w:t>
      </w:r>
    </w:p>
    <w:p>
      <w:pPr>
        <w:pStyle w:val="Body"/>
        <w:widowControl w:val="0"/>
        <w:numPr>
          <w:ilvl w:val="1"/>
          <w:numId w:val="4"/>
        </w:numPr>
        <w:bidi w:val="0"/>
        <w:spacing w:before="3"/>
        <w:ind w:right="0"/>
        <w:jc w:val="both"/>
        <w:rPr>
          <w:rtl w:val="0"/>
          <w:lang w:val="en-US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Be consistent with the independent observation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principles;</w:t>
      </w:r>
    </w:p>
    <w:p>
      <w:pPr>
        <w:pStyle w:val="Body"/>
        <w:widowControl w:val="0"/>
        <w:numPr>
          <w:ilvl w:val="1"/>
          <w:numId w:val="4"/>
        </w:numPr>
        <w:bidi w:val="0"/>
        <w:spacing w:before="2"/>
        <w:ind w:right="0"/>
        <w:jc w:val="both"/>
        <w:rPr>
          <w:rtl w:val="0"/>
          <w:lang w:val="en-US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Commit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to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apply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for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election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observation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with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only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one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body;</w:t>
      </w:r>
    </w:p>
    <w:p>
      <w:pPr>
        <w:pStyle w:val="Body"/>
        <w:widowControl w:val="0"/>
        <w:numPr>
          <w:ilvl w:val="1"/>
          <w:numId w:val="4"/>
        </w:numPr>
        <w:bidi w:val="0"/>
        <w:spacing w:before="3"/>
        <w:ind w:right="0"/>
        <w:jc w:val="both"/>
        <w:rPr>
          <w:rtl w:val="0"/>
          <w:lang w:val="en-US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Adhere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to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their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accredited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bodies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’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guidelines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and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principles;</w:t>
      </w:r>
    </w:p>
    <w:p>
      <w:pPr>
        <w:pStyle w:val="Body"/>
        <w:widowControl w:val="0"/>
        <w:numPr>
          <w:ilvl w:val="1"/>
          <w:numId w:val="5"/>
        </w:numPr>
        <w:bidi w:val="0"/>
        <w:spacing w:before="9" w:line="232" w:lineRule="auto"/>
        <w:ind w:right="126"/>
        <w:jc w:val="both"/>
        <w:rPr>
          <w:rtl w:val="0"/>
          <w:lang w:val="en-US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Conduct no activity or act that may be perceived as favoring any particular candidate, the administration or any other stakeholder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concerned;</w:t>
      </w:r>
    </w:p>
    <w:p>
      <w:pPr>
        <w:pStyle w:val="Body"/>
        <w:widowControl w:val="0"/>
        <w:numPr>
          <w:ilvl w:val="1"/>
          <w:numId w:val="5"/>
        </w:numPr>
        <w:bidi w:val="0"/>
        <w:spacing w:before="8" w:line="237" w:lineRule="auto"/>
        <w:ind w:right="120"/>
        <w:jc w:val="both"/>
        <w:rPr>
          <w:rtl w:val="0"/>
          <w:lang w:val="en-US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Respect public order during public gatherings and demonstrations organized as part of the election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campaigns;</w:t>
      </w:r>
    </w:p>
    <w:p>
      <w:pPr>
        <w:pStyle w:val="Body"/>
        <w:widowControl w:val="0"/>
        <w:numPr>
          <w:ilvl w:val="1"/>
          <w:numId w:val="4"/>
        </w:numPr>
        <w:bidi w:val="0"/>
        <w:spacing w:before="3"/>
        <w:ind w:right="0"/>
        <w:jc w:val="both"/>
        <w:rPr>
          <w:rtl w:val="0"/>
          <w:lang w:val="en-US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Respect public order in the polling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stations;</w:t>
      </w:r>
    </w:p>
    <w:p>
      <w:pPr>
        <w:pStyle w:val="Body"/>
        <w:widowControl w:val="0"/>
        <w:numPr>
          <w:ilvl w:val="1"/>
          <w:numId w:val="5"/>
        </w:numPr>
        <w:bidi w:val="0"/>
        <w:spacing w:before="7" w:line="235" w:lineRule="auto"/>
        <w:ind w:right="108"/>
        <w:jc w:val="both"/>
        <w:rPr>
          <w:rtl w:val="0"/>
          <w:lang w:val="en-US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Refrain from interfering in the electoral process, respect the secrecy of the vote, and never influence the free choice of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voters;</w:t>
      </w:r>
    </w:p>
    <w:p>
      <w:pPr>
        <w:pStyle w:val="Body"/>
        <w:widowControl w:val="0"/>
        <w:numPr>
          <w:ilvl w:val="1"/>
          <w:numId w:val="5"/>
        </w:numPr>
        <w:bidi w:val="0"/>
        <w:spacing w:before="9" w:line="232" w:lineRule="auto"/>
        <w:ind w:right="117"/>
        <w:jc w:val="both"/>
        <w:rPr>
          <w:rtl w:val="0"/>
          <w:lang w:val="en-US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Commit to work exclusively for their accredited bodies, and refrain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from giving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any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information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or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data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they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receive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to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third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parties;</w:t>
      </w:r>
    </w:p>
    <w:p>
      <w:pPr>
        <w:pStyle w:val="Body"/>
        <w:widowControl w:val="0"/>
        <w:numPr>
          <w:ilvl w:val="1"/>
          <w:numId w:val="5"/>
        </w:numPr>
        <w:bidi w:val="0"/>
        <w:spacing w:before="16" w:line="232" w:lineRule="auto"/>
        <w:ind w:right="112"/>
        <w:jc w:val="both"/>
        <w:rPr>
          <w:rtl w:val="0"/>
          <w:lang w:val="en-US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Present their accreditation cards to public authorities and the heads of polling stations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when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asked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to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do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so,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and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wear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their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accreditation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badges,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that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are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handed by the accreditation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commission;</w:t>
      </w:r>
    </w:p>
    <w:p>
      <w:pPr>
        <w:pStyle w:val="Body"/>
        <w:widowControl w:val="0"/>
        <w:numPr>
          <w:ilvl w:val="1"/>
          <w:numId w:val="5"/>
        </w:numPr>
        <w:bidi w:val="0"/>
        <w:spacing w:before="11" w:line="235" w:lineRule="auto"/>
        <w:ind w:right="111"/>
        <w:jc w:val="both"/>
        <w:rPr>
          <w:rtl w:val="0"/>
          <w:lang w:val="en-US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Refrain from issuing any statement, comment or declaration to written, audio-visual or electronic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media before the end of electoral operations and the announcement of the overall polls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’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results  ;</w:t>
      </w:r>
    </w:p>
    <w:p>
      <w:pPr>
        <w:pStyle w:val="Body"/>
        <w:widowControl w:val="0"/>
        <w:numPr>
          <w:ilvl w:val="1"/>
          <w:numId w:val="5"/>
        </w:numPr>
        <w:bidi w:val="0"/>
        <w:spacing w:before="11" w:line="235" w:lineRule="auto"/>
        <w:ind w:right="111"/>
        <w:jc w:val="both"/>
        <w:rPr>
          <w:rtl w:val="0"/>
          <w:lang w:val="en-US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Respect the ethical CNDH Charter ;</w:t>
      </w:r>
    </w:p>
    <w:p>
      <w:pPr>
        <w:pStyle w:val="Body"/>
        <w:widowControl w:val="0"/>
        <w:numPr>
          <w:ilvl w:val="1"/>
          <w:numId w:val="5"/>
        </w:numPr>
        <w:bidi w:val="0"/>
        <w:spacing w:before="14" w:line="232" w:lineRule="auto"/>
        <w:ind w:right="118"/>
        <w:jc w:val="both"/>
        <w:rPr>
          <w:rtl w:val="0"/>
          <w:lang w:val="en-US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Stop using their accreditation cards and badges once a decision is made to withdraw their accreditation;</w:t>
      </w:r>
    </w:p>
    <w:p>
      <w:pPr>
        <w:pStyle w:val="Body"/>
        <w:widowControl w:val="0"/>
        <w:numPr>
          <w:ilvl w:val="1"/>
          <w:numId w:val="5"/>
        </w:numPr>
        <w:bidi w:val="0"/>
        <w:spacing w:before="14" w:line="232" w:lineRule="auto"/>
        <w:ind w:right="118"/>
        <w:jc w:val="both"/>
        <w:rPr>
          <w:rtl w:val="0"/>
          <w:lang w:val="en-US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Return them immediately to the accredited bodies or the Special Commission for the Accreditation of Election Observers, once</w:t>
      </w:r>
      <w:r>
        <w:rPr>
          <w:rFonts w:ascii="Arial Unicode MS" w:hAnsi="Arial Unicode M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1"/>
          <w:lang w:val="ar-SA" w:bidi="ar-SA"/>
        </w:rPr>
        <w:t xml:space="preserve">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the accreditation is withdrawn.</w:t>
      </w:r>
    </w:p>
    <w:p>
      <w:pPr>
        <w:pStyle w:val="Default"/>
        <w:widowControl w:val="0"/>
        <w:tabs>
          <w:tab w:val="left" w:pos="735"/>
          <w:tab w:val="left" w:pos="1555"/>
          <w:tab w:val="left" w:pos="6959"/>
          <w:tab w:val="left" w:pos="7395"/>
          <w:tab w:val="left" w:pos="7942"/>
          <w:tab w:val="left" w:pos="8820"/>
        </w:tabs>
        <w:spacing w:line="272" w:lineRule="exact"/>
        <w:ind w:left="116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lang w:val="en-US"/>
        </w:rPr>
      </w:pPr>
    </w:p>
    <w:p>
      <w:pPr>
        <w:pStyle w:val="Default"/>
        <w:widowControl w:val="0"/>
        <w:tabs>
          <w:tab w:val="left" w:pos="735"/>
          <w:tab w:val="left" w:pos="1555"/>
          <w:tab w:val="left" w:pos="6959"/>
          <w:tab w:val="left" w:pos="7395"/>
          <w:tab w:val="left" w:pos="7942"/>
          <w:tab w:val="left" w:pos="8820"/>
        </w:tabs>
        <w:spacing w:line="272" w:lineRule="exact"/>
        <w:ind w:left="116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lang w:val="en-US"/>
        </w:rPr>
      </w:pPr>
    </w:p>
    <w:p>
      <w:pPr>
        <w:pStyle w:val="Default"/>
        <w:widowControl w:val="0"/>
        <w:tabs>
          <w:tab w:val="left" w:pos="735"/>
          <w:tab w:val="left" w:pos="1555"/>
          <w:tab w:val="left" w:pos="6959"/>
          <w:tab w:val="left" w:pos="7395"/>
          <w:tab w:val="left" w:pos="7942"/>
          <w:tab w:val="left" w:pos="8820"/>
        </w:tabs>
        <w:spacing w:line="272" w:lineRule="exact"/>
        <w:ind w:left="116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Full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name:</w:t>
        <w:tab/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…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……………………………………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…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…………………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..</w:t>
        <w:tab/>
        <w:t>in</w:t>
        <w:tab/>
        <w:t>my</w:t>
        <w:tab/>
        <w:t>capacity</w:t>
        <w:tab/>
        <w:t>as: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………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………………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…………………………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………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………………………………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.,   </w:t>
      </w:r>
    </w:p>
    <w:p>
      <w:pPr>
        <w:pStyle w:val="Default"/>
        <w:widowControl w:val="0"/>
        <w:spacing w:line="269" w:lineRule="exact"/>
        <w:ind w:left="116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National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Identity Card</w:t>
      </w:r>
      <w:r>
        <w:rPr>
          <w:rFonts w:ascii="Times New Roman" w:hAnsi="Times New Roman"/>
          <w:spacing w:val="9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No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……………………………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………………………………………………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</w:t>
      </w:r>
    </w:p>
    <w:p>
      <w:pPr>
        <w:pStyle w:val="Default"/>
        <w:widowControl w:val="0"/>
        <w:spacing w:line="269" w:lineRule="exact"/>
        <w:ind w:left="116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Passport No (for international observers):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………………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……………………………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………………</w:t>
      </w:r>
    </w:p>
    <w:p>
      <w:pPr>
        <w:pStyle w:val="Default"/>
        <w:widowControl w:val="0"/>
        <w:spacing w:line="271" w:lineRule="exact"/>
        <w:ind w:left="116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Address:</w:t>
      </w:r>
      <w:r>
        <w:rPr>
          <w:rFonts w:ascii="Times New Roman" w:hAnsi="Times New Roman"/>
          <w:spacing w:val="9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……………………………………………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…………………………………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..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……………</w:t>
      </w:r>
    </w:p>
    <w:p>
      <w:pPr>
        <w:pStyle w:val="Default"/>
        <w:widowControl w:val="0"/>
        <w:spacing w:before="6" w:line="232" w:lineRule="auto"/>
        <w:ind w:left="116" w:right="109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..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I hereby certify that I have read the Election Observation Charter and pledge to abide by its provisions.</w:t>
      </w:r>
    </w:p>
    <w:p>
      <w:pPr>
        <w:pStyle w:val="Default"/>
        <w:widowControl w:val="0"/>
        <w:spacing w:before="6" w:line="232" w:lineRule="auto"/>
        <w:ind w:left="116" w:right="109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lang w:val="en-US"/>
        </w:rPr>
      </w:pPr>
    </w:p>
    <w:p>
      <w:pPr>
        <w:pStyle w:val="Default"/>
        <w:widowControl w:val="0"/>
        <w:spacing w:line="272" w:lineRule="exact"/>
        <w:ind w:left="116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Signature: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………………………………………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..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……</w:t>
      </w:r>
    </w:p>
    <w:p>
      <w:pPr>
        <w:pStyle w:val="Default"/>
        <w:widowControl w:val="0"/>
        <w:spacing w:line="275" w:lineRule="exact"/>
        <w:ind w:left="116" w:firstLine="0"/>
        <w:jc w:val="both"/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Date: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………………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…………………………………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12"/>
        <w:tab w:val="clear" w:pos="9020"/>
      </w:tabs>
    </w:pPr>
    <w:r>
      <w:drawing>
        <wp:inline distT="0" distB="0" distL="0" distR="0">
          <wp:extent cx="1310107" cy="853811"/>
          <wp:effectExtent l="0" t="0" r="0" b="0"/>
          <wp:docPr id="1073741825" name="officeArt object" descr="logo cndh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cndh.png" descr="logo cndh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107" cy="85381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  <w:tab/>
    </w:r>
    <w:r>
      <w:drawing>
        <wp:inline distT="0" distB="0" distL="0" distR="0">
          <wp:extent cx="2763261" cy="937006"/>
          <wp:effectExtent l="0" t="0" r="0" b="0"/>
          <wp:docPr id="1073741826" name="officeArt object" descr="Logo Election New FR EN A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 Election New FR EN AM.png" descr="Logo Election New FR EN AM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3261" cy="93700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885" w:hanging="409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left" w:pos="885"/>
        </w:tabs>
        <w:ind w:left="884" w:hanging="164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885"/>
        </w:tabs>
        <w:ind w:left="1849" w:hanging="409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885"/>
        </w:tabs>
        <w:ind w:left="2569" w:hanging="409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885"/>
        </w:tabs>
        <w:ind w:left="3289" w:hanging="409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885"/>
        </w:tabs>
        <w:ind w:left="4009" w:hanging="409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885"/>
        </w:tabs>
        <w:ind w:left="4729" w:hanging="409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885"/>
        </w:tabs>
        <w:ind w:left="5449" w:hanging="409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885"/>
        </w:tabs>
        <w:ind w:left="6169" w:hanging="409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1.0"/>
  </w:abstractNum>
  <w:abstractNum w:abstractNumId="3">
    <w:multiLevelType w:val="hybridMultilevel"/>
    <w:styleLink w:val="Imported Style 1.0"/>
    <w:lvl w:ilvl="0">
      <w:start w:val="1"/>
      <w:numFmt w:val="bullet"/>
      <w:suff w:val="tab"/>
      <w:lvlText w:val="❖"/>
      <w:lvlJc w:val="left"/>
      <w:pPr>
        <w:ind w:left="367" w:hanging="36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❖"/>
      <w:lvlJc w:val="left"/>
      <w:pPr>
        <w:ind w:left="1533" w:hanging="33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396" w:hanging="33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256" w:hanging="33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4117" w:hanging="33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4977" w:hanging="33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838" w:hanging="33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6698" w:hanging="33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7559" w:hanging="33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bullet"/>
        <w:suff w:val="tab"/>
        <w:lvlText w:val="❖"/>
        <w:lvlJc w:val="left"/>
        <w:pPr>
          <w:ind w:left="367" w:hanging="36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❖"/>
        <w:lvlJc w:val="left"/>
        <w:pPr>
          <w:tabs>
            <w:tab w:val="num" w:pos="1533"/>
          </w:tabs>
          <w:ind w:left="1557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1533"/>
            <w:tab w:val="num" w:pos="2420"/>
          </w:tabs>
          <w:ind w:left="2444" w:hanging="38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1533"/>
            <w:tab w:val="num" w:pos="3280"/>
          </w:tabs>
          <w:ind w:left="3304" w:hanging="38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1533"/>
            <w:tab w:val="num" w:pos="4141"/>
          </w:tabs>
          <w:ind w:left="4165" w:hanging="38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1533"/>
            <w:tab w:val="num" w:pos="5001"/>
          </w:tabs>
          <w:ind w:left="5025" w:hanging="38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1533"/>
            <w:tab w:val="num" w:pos="5862"/>
          </w:tabs>
          <w:ind w:left="5886" w:hanging="38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1533"/>
            <w:tab w:val="num" w:pos="6722"/>
          </w:tabs>
          <w:ind w:left="6746" w:hanging="38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1533"/>
            <w:tab w:val="num" w:pos="7583"/>
          </w:tabs>
          <w:ind w:left="7607" w:hanging="38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startOverride w:val="2"/>
      <w:lvl w:ilvl="0">
        <w:start w:val="2"/>
        <w:numFmt w:val="decimal"/>
        <w:suff w:val="tab"/>
        <w:lvlText w:val="%1."/>
        <w:lvlJc w:val="left"/>
        <w:pPr>
          <w:tabs>
            <w:tab w:val="left" w:pos="823"/>
          </w:tabs>
          <w:ind w:left="822" w:hanging="347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823"/>
          </w:tabs>
          <w:ind w:left="1067" w:hanging="347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823"/>
          </w:tabs>
          <w:ind w:left="1787" w:hanging="347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823"/>
          </w:tabs>
          <w:ind w:left="2507" w:hanging="347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823"/>
          </w:tabs>
          <w:ind w:left="3227" w:hanging="347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823"/>
          </w:tabs>
          <w:ind w:left="3947" w:hanging="347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823"/>
          </w:tabs>
          <w:ind w:left="4667" w:hanging="347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823"/>
          </w:tabs>
          <w:ind w:left="5387" w:hanging="347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823"/>
          </w:tabs>
          <w:ind w:left="6107" w:hanging="347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startOverride w:val="3"/>
      <w:lvl w:ilvl="0">
        <w:start w:val="3"/>
        <w:numFmt w:val="decimal"/>
        <w:suff w:val="tab"/>
        <w:lvlText w:val="%1."/>
        <w:lvlJc w:val="left"/>
        <w:pPr>
          <w:ind w:left="822" w:hanging="347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067" w:hanging="347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787" w:hanging="347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07" w:hanging="347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227" w:hanging="347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3947" w:hanging="347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67" w:hanging="347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387" w:hanging="347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107" w:hanging="347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Imported Style 1">
    <w:name w:val="Imported Style 1"/>
    <w:pPr>
      <w:numPr>
        <w:numId w:val="1"/>
      </w:numPr>
    </w:p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1.0">
    <w:name w:val="Imported Style 1.0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